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6B" w:rsidRPr="00086F1B" w:rsidRDefault="00086F1B" w:rsidP="00086F1B">
      <w:pPr>
        <w:widowControl w:val="0"/>
        <w:autoSpaceDE w:val="0"/>
        <w:autoSpaceDN w:val="0"/>
        <w:adjustRightInd w:val="0"/>
        <w:jc w:val="center"/>
        <w:rPr>
          <w:rFonts w:asciiTheme="majorHAnsi" w:hAnsiTheme="majorHAnsi" w:cs="Arial"/>
          <w:b/>
          <w:bCs/>
          <w:sz w:val="22"/>
          <w:szCs w:val="22"/>
        </w:rPr>
      </w:pPr>
      <w:r w:rsidRPr="00086F1B">
        <w:rPr>
          <w:rFonts w:asciiTheme="majorHAnsi" w:hAnsiTheme="majorHAnsi" w:cs="Arial"/>
          <w:b/>
          <w:bCs/>
          <w:sz w:val="22"/>
          <w:szCs w:val="22"/>
        </w:rPr>
        <w:t xml:space="preserve">BLACK TEA ASSOCIATED WITH </w:t>
      </w:r>
      <w:r w:rsidR="002A3FB9">
        <w:rPr>
          <w:rFonts w:asciiTheme="majorHAnsi" w:hAnsiTheme="majorHAnsi" w:cs="Arial"/>
          <w:b/>
          <w:bCs/>
          <w:sz w:val="22"/>
          <w:szCs w:val="22"/>
        </w:rPr>
        <w:t xml:space="preserve">30% </w:t>
      </w:r>
      <w:r w:rsidRPr="00086F1B">
        <w:rPr>
          <w:rFonts w:asciiTheme="majorHAnsi" w:hAnsiTheme="majorHAnsi" w:cs="Arial"/>
          <w:b/>
          <w:bCs/>
          <w:sz w:val="22"/>
          <w:szCs w:val="22"/>
        </w:rPr>
        <w:t>REDUCED RISK OF FRACTURE</w:t>
      </w:r>
    </w:p>
    <w:p w:rsidR="00086F1B" w:rsidRDefault="00086F1B" w:rsidP="009B309F">
      <w:pPr>
        <w:widowControl w:val="0"/>
        <w:autoSpaceDE w:val="0"/>
        <w:autoSpaceDN w:val="0"/>
        <w:adjustRightInd w:val="0"/>
        <w:rPr>
          <w:rFonts w:asciiTheme="majorHAnsi" w:hAnsiTheme="majorHAnsi" w:cs="Arial"/>
          <w:bCs/>
          <w:sz w:val="22"/>
          <w:szCs w:val="22"/>
        </w:rPr>
      </w:pPr>
    </w:p>
    <w:p w:rsidR="00CE416B" w:rsidRPr="00086F1B" w:rsidRDefault="00CE416B" w:rsidP="009B309F">
      <w:pPr>
        <w:widowControl w:val="0"/>
        <w:autoSpaceDE w:val="0"/>
        <w:autoSpaceDN w:val="0"/>
        <w:adjustRightInd w:val="0"/>
        <w:rPr>
          <w:rFonts w:asciiTheme="majorHAnsi" w:hAnsiTheme="majorHAnsi" w:cs="Arial"/>
          <w:bCs/>
          <w:sz w:val="22"/>
          <w:szCs w:val="22"/>
        </w:rPr>
      </w:pPr>
      <w:r w:rsidRPr="00086F1B">
        <w:rPr>
          <w:rFonts w:asciiTheme="majorHAnsi" w:hAnsiTheme="majorHAnsi" w:cs="Arial"/>
          <w:bCs/>
          <w:sz w:val="22"/>
          <w:szCs w:val="22"/>
        </w:rPr>
        <w:t xml:space="preserve">Consumption of </w:t>
      </w:r>
      <w:r w:rsidR="00086F1B">
        <w:rPr>
          <w:rFonts w:asciiTheme="majorHAnsi" w:hAnsiTheme="majorHAnsi" w:cs="Arial"/>
          <w:bCs/>
          <w:sz w:val="22"/>
          <w:szCs w:val="22"/>
        </w:rPr>
        <w:t>three</w:t>
      </w:r>
      <w:r w:rsidRPr="00086F1B">
        <w:rPr>
          <w:rFonts w:asciiTheme="majorHAnsi" w:hAnsiTheme="majorHAnsi" w:cs="Arial"/>
          <w:bCs/>
          <w:sz w:val="22"/>
          <w:szCs w:val="22"/>
        </w:rPr>
        <w:t xml:space="preserve"> or more cups of black tea daily is associated with a 30% reduced risk of osteoporotic fracture according to a</w:t>
      </w:r>
      <w:r w:rsidR="00086F1B">
        <w:rPr>
          <w:rFonts w:asciiTheme="majorHAnsi" w:hAnsiTheme="majorHAnsi" w:cs="Arial"/>
          <w:bCs/>
          <w:sz w:val="22"/>
          <w:szCs w:val="22"/>
        </w:rPr>
        <w:t xml:space="preserve"> new</w:t>
      </w:r>
      <w:r w:rsidRPr="00086F1B">
        <w:rPr>
          <w:rFonts w:asciiTheme="majorHAnsi" w:hAnsiTheme="majorHAnsi" w:cs="Arial"/>
          <w:bCs/>
          <w:sz w:val="22"/>
          <w:szCs w:val="22"/>
        </w:rPr>
        <w:t xml:space="preserve"> Australian study</w:t>
      </w:r>
      <w:r w:rsidR="00086F1B">
        <w:rPr>
          <w:rFonts w:asciiTheme="majorHAnsi" w:hAnsiTheme="majorHAnsi" w:cs="Arial"/>
          <w:bCs/>
          <w:sz w:val="22"/>
          <w:szCs w:val="22"/>
        </w:rPr>
        <w:t xml:space="preserve">, just </w:t>
      </w:r>
      <w:r w:rsidR="002A3FB9">
        <w:rPr>
          <w:rFonts w:asciiTheme="majorHAnsi" w:hAnsiTheme="majorHAnsi" w:cs="Arial"/>
          <w:bCs/>
          <w:sz w:val="22"/>
          <w:szCs w:val="22"/>
        </w:rPr>
        <w:t>published</w:t>
      </w:r>
      <w:r w:rsidRPr="00086F1B">
        <w:rPr>
          <w:rFonts w:asciiTheme="majorHAnsi" w:hAnsiTheme="majorHAnsi" w:cs="Arial"/>
          <w:bCs/>
          <w:sz w:val="22"/>
          <w:szCs w:val="22"/>
        </w:rPr>
        <w:t>.</w:t>
      </w:r>
      <w:r w:rsidRPr="00086F1B">
        <w:rPr>
          <w:rStyle w:val="FootnoteReference"/>
          <w:rFonts w:asciiTheme="majorHAnsi" w:hAnsiTheme="majorHAnsi" w:cs="Arial"/>
          <w:bCs/>
          <w:sz w:val="22"/>
          <w:szCs w:val="22"/>
        </w:rPr>
        <w:footnoteReference w:id="1"/>
      </w:r>
    </w:p>
    <w:p w:rsidR="00CE416B" w:rsidRPr="00086F1B" w:rsidRDefault="00CE416B" w:rsidP="009B309F">
      <w:pPr>
        <w:widowControl w:val="0"/>
        <w:autoSpaceDE w:val="0"/>
        <w:autoSpaceDN w:val="0"/>
        <w:adjustRightInd w:val="0"/>
        <w:rPr>
          <w:rFonts w:asciiTheme="majorHAnsi" w:hAnsiTheme="majorHAnsi" w:cs="Arial"/>
          <w:bCs/>
          <w:sz w:val="22"/>
          <w:szCs w:val="22"/>
        </w:rPr>
      </w:pPr>
    </w:p>
    <w:p w:rsidR="003419E0" w:rsidRPr="00086F1B" w:rsidRDefault="00086F1B" w:rsidP="00CE416B">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Commenting on the study, women’s health expert, Dr Catherine Hood from the Tea Advisory Panel notes: “</w:t>
      </w:r>
      <w:r w:rsidR="00CE416B" w:rsidRPr="00086F1B">
        <w:rPr>
          <w:rFonts w:asciiTheme="majorHAnsi" w:hAnsiTheme="majorHAnsi" w:cs="Arial"/>
          <w:sz w:val="22"/>
          <w:szCs w:val="22"/>
        </w:rPr>
        <w:t xml:space="preserve">The aim of this study was to examine the associations of black tea drinking with fracture risk in a prospective cohort of women aged </w:t>
      </w:r>
      <w:r>
        <w:rPr>
          <w:rFonts w:asciiTheme="majorHAnsi" w:hAnsiTheme="majorHAnsi" w:cs="Arial"/>
          <w:sz w:val="22"/>
          <w:szCs w:val="22"/>
        </w:rPr>
        <w:t>75 years or more</w:t>
      </w:r>
      <w:r w:rsidR="00CE416B" w:rsidRPr="00086F1B">
        <w:rPr>
          <w:rFonts w:asciiTheme="majorHAnsi" w:hAnsiTheme="majorHAnsi" w:cs="Arial"/>
          <w:sz w:val="22"/>
          <w:szCs w:val="22"/>
        </w:rPr>
        <w:t xml:space="preserve">. </w:t>
      </w:r>
    </w:p>
    <w:p w:rsidR="003419E0" w:rsidRPr="00086F1B" w:rsidRDefault="003419E0" w:rsidP="00CE416B">
      <w:pPr>
        <w:widowControl w:val="0"/>
        <w:autoSpaceDE w:val="0"/>
        <w:autoSpaceDN w:val="0"/>
        <w:adjustRightInd w:val="0"/>
        <w:rPr>
          <w:rFonts w:asciiTheme="majorHAnsi" w:hAnsiTheme="majorHAnsi" w:cs="Arial"/>
          <w:sz w:val="22"/>
          <w:szCs w:val="22"/>
        </w:rPr>
      </w:pPr>
    </w:p>
    <w:p w:rsidR="00CE416B" w:rsidRPr="00086F1B" w:rsidRDefault="00086F1B" w:rsidP="00CE416B">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w:t>
      </w:r>
      <w:r w:rsidR="00CE416B" w:rsidRPr="00086F1B">
        <w:rPr>
          <w:rFonts w:asciiTheme="majorHAnsi" w:hAnsiTheme="majorHAnsi" w:cs="Arial"/>
          <w:sz w:val="22"/>
          <w:szCs w:val="22"/>
        </w:rPr>
        <w:t xml:space="preserve">The study involved a total of 1188 women whose usual dietary </w:t>
      </w:r>
      <w:r w:rsidR="003419E0" w:rsidRPr="00086F1B">
        <w:rPr>
          <w:rFonts w:asciiTheme="majorHAnsi" w:hAnsiTheme="majorHAnsi" w:cs="Arial"/>
          <w:sz w:val="22"/>
          <w:szCs w:val="22"/>
        </w:rPr>
        <w:t xml:space="preserve">and beverage </w:t>
      </w:r>
      <w:r w:rsidR="00CE416B" w:rsidRPr="00086F1B">
        <w:rPr>
          <w:rFonts w:asciiTheme="majorHAnsi" w:hAnsiTheme="majorHAnsi" w:cs="Arial"/>
          <w:sz w:val="22"/>
          <w:szCs w:val="22"/>
        </w:rPr>
        <w:t xml:space="preserve">intake </w:t>
      </w:r>
      <w:r w:rsidR="003419E0" w:rsidRPr="00086F1B">
        <w:rPr>
          <w:rFonts w:asciiTheme="majorHAnsi" w:hAnsiTheme="majorHAnsi" w:cs="Arial"/>
          <w:sz w:val="22"/>
          <w:szCs w:val="22"/>
        </w:rPr>
        <w:t xml:space="preserve">and incidence of fracture due to osteoporosis </w:t>
      </w:r>
      <w:r w:rsidR="00CE416B" w:rsidRPr="00086F1B">
        <w:rPr>
          <w:rFonts w:asciiTheme="majorHAnsi" w:hAnsiTheme="majorHAnsi" w:cs="Arial"/>
          <w:sz w:val="22"/>
          <w:szCs w:val="22"/>
        </w:rPr>
        <w:t>was assessed</w:t>
      </w:r>
      <w:r w:rsidR="003419E0" w:rsidRPr="00086F1B">
        <w:rPr>
          <w:rFonts w:asciiTheme="majorHAnsi" w:hAnsiTheme="majorHAnsi" w:cs="Arial"/>
          <w:sz w:val="22"/>
          <w:szCs w:val="22"/>
        </w:rPr>
        <w:t>.</w:t>
      </w:r>
    </w:p>
    <w:p w:rsidR="009B309F" w:rsidRPr="00086F1B" w:rsidRDefault="009B309F" w:rsidP="009B309F">
      <w:pPr>
        <w:widowControl w:val="0"/>
        <w:autoSpaceDE w:val="0"/>
        <w:autoSpaceDN w:val="0"/>
        <w:adjustRightInd w:val="0"/>
        <w:rPr>
          <w:rFonts w:asciiTheme="majorHAnsi" w:hAnsiTheme="majorHAnsi" w:cs="Arial"/>
          <w:sz w:val="22"/>
          <w:szCs w:val="22"/>
        </w:rPr>
      </w:pPr>
    </w:p>
    <w:p w:rsidR="003419E0" w:rsidRPr="00086F1B" w:rsidRDefault="00086F1B" w:rsidP="009B309F">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w:t>
      </w:r>
      <w:r w:rsidR="009B309F" w:rsidRPr="00086F1B">
        <w:rPr>
          <w:rFonts w:asciiTheme="majorHAnsi" w:hAnsiTheme="majorHAnsi" w:cs="Arial"/>
          <w:sz w:val="22"/>
          <w:szCs w:val="22"/>
        </w:rPr>
        <w:t>Over 10 y</w:t>
      </w:r>
      <w:r w:rsidR="003419E0" w:rsidRPr="00086F1B">
        <w:rPr>
          <w:rFonts w:asciiTheme="majorHAnsi" w:hAnsiTheme="majorHAnsi" w:cs="Arial"/>
          <w:sz w:val="22"/>
          <w:szCs w:val="22"/>
        </w:rPr>
        <w:t>ears</w:t>
      </w:r>
      <w:r w:rsidR="009B309F" w:rsidRPr="00086F1B">
        <w:rPr>
          <w:rFonts w:asciiTheme="majorHAnsi" w:hAnsiTheme="majorHAnsi" w:cs="Arial"/>
          <w:sz w:val="22"/>
          <w:szCs w:val="22"/>
        </w:rPr>
        <w:t xml:space="preserve"> of follow-up, osteoporotic fractures were identified in 288 (24.2%) women; 212 (17.8%) were identified as a major osteoporotic fracture, and of these, 129 (10.9%) were a hip fracture. </w:t>
      </w:r>
    </w:p>
    <w:p w:rsidR="003419E0" w:rsidRPr="00086F1B" w:rsidRDefault="003419E0" w:rsidP="009B309F">
      <w:pPr>
        <w:widowControl w:val="0"/>
        <w:autoSpaceDE w:val="0"/>
        <w:autoSpaceDN w:val="0"/>
        <w:adjustRightInd w:val="0"/>
        <w:rPr>
          <w:rFonts w:asciiTheme="majorHAnsi" w:hAnsiTheme="majorHAnsi" w:cs="Arial"/>
          <w:sz w:val="22"/>
          <w:szCs w:val="22"/>
        </w:rPr>
      </w:pPr>
    </w:p>
    <w:p w:rsidR="003419E0" w:rsidRPr="00086F1B" w:rsidRDefault="00086F1B" w:rsidP="002C3155">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w:t>
      </w:r>
      <w:r w:rsidR="003419E0" w:rsidRPr="00086F1B">
        <w:rPr>
          <w:rFonts w:asciiTheme="majorHAnsi" w:hAnsiTheme="majorHAnsi" w:cs="Arial"/>
          <w:sz w:val="22"/>
          <w:szCs w:val="22"/>
        </w:rPr>
        <w:t xml:space="preserve">Compared </w:t>
      </w:r>
      <w:r w:rsidR="009B309F" w:rsidRPr="00086F1B">
        <w:rPr>
          <w:rFonts w:asciiTheme="majorHAnsi" w:hAnsiTheme="majorHAnsi" w:cs="Arial"/>
          <w:sz w:val="22"/>
          <w:szCs w:val="22"/>
        </w:rPr>
        <w:t>with the lowest tea intake category (</w:t>
      </w:r>
      <w:r>
        <w:rPr>
          <w:rFonts w:asciiTheme="majorHAnsi" w:hAnsiTheme="majorHAnsi" w:cs="Arial"/>
          <w:sz w:val="22"/>
          <w:szCs w:val="22"/>
        </w:rPr>
        <w:t>one</w:t>
      </w:r>
      <w:r w:rsidR="009B309F" w:rsidRPr="00086F1B">
        <w:rPr>
          <w:rFonts w:asciiTheme="majorHAnsi" w:hAnsiTheme="majorHAnsi" w:cs="Arial"/>
          <w:sz w:val="22"/>
          <w:szCs w:val="22"/>
        </w:rPr>
        <w:t xml:space="preserve"> </w:t>
      </w:r>
      <w:r w:rsidR="003419E0" w:rsidRPr="00086F1B">
        <w:rPr>
          <w:rFonts w:asciiTheme="majorHAnsi" w:hAnsiTheme="majorHAnsi" w:cs="Arial"/>
          <w:sz w:val="22"/>
          <w:szCs w:val="22"/>
        </w:rPr>
        <w:t xml:space="preserve">or fewer </w:t>
      </w:r>
      <w:r w:rsidR="009B309F" w:rsidRPr="00086F1B">
        <w:rPr>
          <w:rFonts w:asciiTheme="majorHAnsi" w:hAnsiTheme="majorHAnsi" w:cs="Arial"/>
          <w:sz w:val="22"/>
          <w:szCs w:val="22"/>
        </w:rPr>
        <w:t>cup</w:t>
      </w:r>
      <w:r w:rsidR="003419E0" w:rsidRPr="00086F1B">
        <w:rPr>
          <w:rFonts w:asciiTheme="majorHAnsi" w:hAnsiTheme="majorHAnsi" w:cs="Arial"/>
          <w:sz w:val="22"/>
          <w:szCs w:val="22"/>
        </w:rPr>
        <w:t xml:space="preserve">s of tea each week), consumption of </w:t>
      </w:r>
      <w:r>
        <w:rPr>
          <w:rFonts w:asciiTheme="majorHAnsi" w:hAnsiTheme="majorHAnsi" w:cs="Arial"/>
          <w:sz w:val="22"/>
          <w:szCs w:val="22"/>
        </w:rPr>
        <w:t>three</w:t>
      </w:r>
      <w:r w:rsidR="009B309F" w:rsidRPr="00086F1B">
        <w:rPr>
          <w:rFonts w:asciiTheme="majorHAnsi" w:hAnsiTheme="majorHAnsi" w:cs="Arial"/>
          <w:sz w:val="22"/>
          <w:szCs w:val="22"/>
        </w:rPr>
        <w:t xml:space="preserve"> </w:t>
      </w:r>
      <w:r w:rsidR="003419E0" w:rsidRPr="00086F1B">
        <w:rPr>
          <w:rFonts w:asciiTheme="majorHAnsi" w:hAnsiTheme="majorHAnsi" w:cs="Arial"/>
          <w:sz w:val="22"/>
          <w:szCs w:val="22"/>
        </w:rPr>
        <w:t xml:space="preserve">or more cups of tea each day </w:t>
      </w:r>
      <w:r w:rsidR="009B309F" w:rsidRPr="00086F1B">
        <w:rPr>
          <w:rFonts w:asciiTheme="majorHAnsi" w:hAnsiTheme="majorHAnsi" w:cs="Arial"/>
          <w:sz w:val="22"/>
          <w:szCs w:val="22"/>
        </w:rPr>
        <w:t xml:space="preserve">was associated with a </w:t>
      </w:r>
      <w:r w:rsidR="003419E0" w:rsidRPr="00086F1B">
        <w:rPr>
          <w:rFonts w:asciiTheme="majorHAnsi" w:hAnsiTheme="majorHAnsi" w:cs="Arial"/>
          <w:sz w:val="22"/>
          <w:szCs w:val="22"/>
        </w:rPr>
        <w:t xml:space="preserve">statistically significant </w:t>
      </w:r>
      <w:r w:rsidR="009B309F" w:rsidRPr="00086F1B">
        <w:rPr>
          <w:rFonts w:asciiTheme="majorHAnsi" w:hAnsiTheme="majorHAnsi" w:cs="Arial"/>
          <w:sz w:val="22"/>
          <w:szCs w:val="22"/>
        </w:rPr>
        <w:t>30% decrease in the ri</w:t>
      </w:r>
      <w:r w:rsidR="003419E0" w:rsidRPr="00086F1B">
        <w:rPr>
          <w:rFonts w:asciiTheme="majorHAnsi" w:hAnsiTheme="majorHAnsi" w:cs="Arial"/>
          <w:sz w:val="22"/>
          <w:szCs w:val="22"/>
        </w:rPr>
        <w:t>sk of any osteoporotic fracture.</w:t>
      </w:r>
    </w:p>
    <w:p w:rsidR="003419E0" w:rsidRPr="00086F1B" w:rsidRDefault="003419E0" w:rsidP="002C3155">
      <w:pPr>
        <w:widowControl w:val="0"/>
        <w:autoSpaceDE w:val="0"/>
        <w:autoSpaceDN w:val="0"/>
        <w:adjustRightInd w:val="0"/>
        <w:rPr>
          <w:rFonts w:asciiTheme="majorHAnsi" w:hAnsiTheme="majorHAnsi" w:cs="Arial"/>
          <w:sz w:val="22"/>
          <w:szCs w:val="22"/>
        </w:rPr>
      </w:pPr>
    </w:p>
    <w:p w:rsidR="003419E0" w:rsidRPr="00086F1B" w:rsidRDefault="00D3603A" w:rsidP="002C3155">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w:t>
      </w:r>
      <w:r w:rsidR="009B309F" w:rsidRPr="00086F1B">
        <w:rPr>
          <w:rFonts w:asciiTheme="majorHAnsi" w:hAnsiTheme="majorHAnsi" w:cs="Arial"/>
          <w:sz w:val="22"/>
          <w:szCs w:val="22"/>
        </w:rPr>
        <w:t xml:space="preserve">Compared with women in the lowest </w:t>
      </w:r>
      <w:r w:rsidR="003419E0" w:rsidRPr="00086F1B">
        <w:rPr>
          <w:rFonts w:asciiTheme="majorHAnsi" w:hAnsiTheme="majorHAnsi" w:cs="Arial"/>
          <w:sz w:val="22"/>
          <w:szCs w:val="22"/>
        </w:rPr>
        <w:t xml:space="preserve">third </w:t>
      </w:r>
      <w:r w:rsidR="009B309F" w:rsidRPr="00086F1B">
        <w:rPr>
          <w:rFonts w:asciiTheme="majorHAnsi" w:hAnsiTheme="majorHAnsi" w:cs="Arial"/>
          <w:sz w:val="22"/>
          <w:szCs w:val="22"/>
        </w:rPr>
        <w:t>of total flavonoid intake (from tea and diet</w:t>
      </w:r>
      <w:r w:rsidR="003419E0" w:rsidRPr="00086F1B">
        <w:rPr>
          <w:rFonts w:asciiTheme="majorHAnsi" w:hAnsiTheme="majorHAnsi" w:cs="Arial"/>
          <w:sz w:val="22"/>
          <w:szCs w:val="22"/>
        </w:rPr>
        <w:t xml:space="preserve"> combined</w:t>
      </w:r>
      <w:r w:rsidR="009B309F" w:rsidRPr="00086F1B">
        <w:rPr>
          <w:rFonts w:asciiTheme="majorHAnsi" w:hAnsiTheme="majorHAnsi" w:cs="Arial"/>
          <w:sz w:val="22"/>
          <w:szCs w:val="22"/>
        </w:rPr>
        <w:t xml:space="preserve">), women in the highest </w:t>
      </w:r>
      <w:r w:rsidR="003419E0" w:rsidRPr="00086F1B">
        <w:rPr>
          <w:rFonts w:asciiTheme="majorHAnsi" w:hAnsiTheme="majorHAnsi" w:cs="Arial"/>
          <w:sz w:val="22"/>
          <w:szCs w:val="22"/>
        </w:rPr>
        <w:t xml:space="preserve">third </w:t>
      </w:r>
      <w:r w:rsidR="009B309F" w:rsidRPr="00086F1B">
        <w:rPr>
          <w:rFonts w:asciiTheme="majorHAnsi" w:hAnsiTheme="majorHAnsi" w:cs="Arial"/>
          <w:sz w:val="22"/>
          <w:szCs w:val="22"/>
        </w:rPr>
        <w:t xml:space="preserve">had a </w:t>
      </w:r>
      <w:r w:rsidR="003419E0" w:rsidRPr="00086F1B">
        <w:rPr>
          <w:rFonts w:asciiTheme="majorHAnsi" w:hAnsiTheme="majorHAnsi" w:cs="Arial"/>
          <w:sz w:val="22"/>
          <w:szCs w:val="22"/>
        </w:rPr>
        <w:t xml:space="preserve">statistically significant 35% </w:t>
      </w:r>
      <w:r w:rsidR="009B309F" w:rsidRPr="00086F1B">
        <w:rPr>
          <w:rFonts w:asciiTheme="majorHAnsi" w:hAnsiTheme="majorHAnsi" w:cs="Arial"/>
          <w:sz w:val="22"/>
          <w:szCs w:val="22"/>
        </w:rPr>
        <w:t xml:space="preserve">lower risk of any osteoporotic fracture </w:t>
      </w:r>
      <w:r w:rsidR="003419E0" w:rsidRPr="00086F1B">
        <w:rPr>
          <w:rFonts w:asciiTheme="majorHAnsi" w:hAnsiTheme="majorHAnsi" w:cs="Arial"/>
          <w:sz w:val="22"/>
          <w:szCs w:val="22"/>
        </w:rPr>
        <w:t xml:space="preserve">34% lower risk of </w:t>
      </w:r>
      <w:r w:rsidR="009B309F" w:rsidRPr="00086F1B">
        <w:rPr>
          <w:rFonts w:asciiTheme="majorHAnsi" w:hAnsiTheme="majorHAnsi" w:cs="Arial"/>
          <w:sz w:val="22"/>
          <w:szCs w:val="22"/>
        </w:rPr>
        <w:t xml:space="preserve">major osteoporotic fracture </w:t>
      </w:r>
      <w:r>
        <w:rPr>
          <w:rFonts w:asciiTheme="majorHAnsi" w:hAnsiTheme="majorHAnsi" w:cs="Arial"/>
          <w:sz w:val="22"/>
          <w:szCs w:val="22"/>
        </w:rPr>
        <w:t>42% lower risk of hip fracture.”</w:t>
      </w:r>
    </w:p>
    <w:p w:rsidR="003419E0" w:rsidRPr="00086F1B" w:rsidRDefault="003419E0" w:rsidP="002C3155">
      <w:pPr>
        <w:widowControl w:val="0"/>
        <w:autoSpaceDE w:val="0"/>
        <w:autoSpaceDN w:val="0"/>
        <w:adjustRightInd w:val="0"/>
        <w:rPr>
          <w:rFonts w:asciiTheme="majorHAnsi" w:hAnsiTheme="majorHAnsi" w:cs="Arial"/>
          <w:sz w:val="22"/>
          <w:szCs w:val="22"/>
        </w:rPr>
      </w:pPr>
    </w:p>
    <w:p w:rsidR="002C3155" w:rsidRDefault="00D3603A" w:rsidP="002C3155">
      <w:pPr>
        <w:rPr>
          <w:rFonts w:asciiTheme="majorHAnsi" w:hAnsiTheme="majorHAnsi" w:cs="Arial"/>
          <w:bCs/>
          <w:sz w:val="22"/>
          <w:szCs w:val="22"/>
        </w:rPr>
      </w:pPr>
      <w:r>
        <w:rPr>
          <w:rFonts w:asciiTheme="majorHAnsi" w:hAnsiTheme="majorHAnsi" w:cs="Arial"/>
          <w:bCs/>
          <w:sz w:val="22"/>
          <w:szCs w:val="22"/>
        </w:rPr>
        <w:t xml:space="preserve">Dr Tim Bond from the Tea Advisory Panel adds: </w:t>
      </w:r>
    </w:p>
    <w:p w:rsidR="002C3155" w:rsidRDefault="00D3603A" w:rsidP="002C3155">
      <w:r>
        <w:rPr>
          <w:rFonts w:asciiTheme="majorHAnsi" w:hAnsiTheme="majorHAnsi" w:cs="Arial"/>
          <w:bCs/>
          <w:sz w:val="22"/>
          <w:szCs w:val="22"/>
        </w:rPr>
        <w:t>“</w:t>
      </w:r>
      <w:r w:rsidR="002C3155" w:rsidRPr="002C3155">
        <w:rPr>
          <w:rFonts w:ascii="Calibri" w:eastAsia="Times New Roman" w:hAnsi="Calibri" w:cs="Times New Roman"/>
        </w:rPr>
        <w:t>Osteoperosis is the age related loss of bone density that leads to increased risk of bone fractures and breakage. Bone structure - like many body tissues - is a dynamic system with different cells forming bone (osteoblasts) and wearing bone (osteoclasts). With age there is tendency for more bone wearing than forming. The flavonoid polyphenols in tea are thought to maintain bone density through a number of mechanisms including a general antioxidant activity allowing cells to function optimally as well as specifically maintaining and even encouraging oste</w:t>
      </w:r>
      <w:r w:rsidR="002C3155">
        <w:rPr>
          <w:rFonts w:ascii="Calibri" w:eastAsia="Times New Roman" w:hAnsi="Calibri" w:cs="Times New Roman"/>
        </w:rPr>
        <w:t>oblast (bone forming) activity.</w:t>
      </w:r>
    </w:p>
    <w:p w:rsidR="0013281B" w:rsidRDefault="002C3155" w:rsidP="002C3155">
      <w:pPr>
        <w:rPr>
          <w:rFonts w:asciiTheme="majorHAnsi" w:hAnsiTheme="majorHAnsi" w:cs="Arial"/>
          <w:bCs/>
          <w:sz w:val="22"/>
          <w:szCs w:val="22"/>
        </w:rPr>
      </w:pPr>
      <w:r>
        <w:rPr>
          <w:rFonts w:asciiTheme="majorHAnsi" w:hAnsiTheme="majorHAnsi" w:cs="Arial"/>
          <w:bCs/>
          <w:sz w:val="22"/>
          <w:szCs w:val="22"/>
        </w:rPr>
        <w:lastRenderedPageBreak/>
        <w:t>Dr Tim Bond continues: “</w:t>
      </w:r>
      <w:r w:rsidR="003419E0" w:rsidRPr="00086F1B">
        <w:rPr>
          <w:rFonts w:asciiTheme="majorHAnsi" w:hAnsiTheme="majorHAnsi" w:cs="Arial"/>
          <w:bCs/>
          <w:sz w:val="22"/>
          <w:szCs w:val="22"/>
        </w:rPr>
        <w:t>This is good news for Britain’s older tea drinkers in particular. Older women are at increased risk of fracture</w:t>
      </w:r>
      <w:r w:rsidR="00D3603A">
        <w:rPr>
          <w:rFonts w:asciiTheme="majorHAnsi" w:hAnsiTheme="majorHAnsi" w:cs="Arial"/>
          <w:bCs/>
          <w:sz w:val="22"/>
          <w:szCs w:val="22"/>
        </w:rPr>
        <w:t xml:space="preserve"> which often leads to hospitalis</w:t>
      </w:r>
      <w:r w:rsidR="003419E0" w:rsidRPr="00086F1B">
        <w:rPr>
          <w:rFonts w:asciiTheme="majorHAnsi" w:hAnsiTheme="majorHAnsi" w:cs="Arial"/>
          <w:bCs/>
          <w:sz w:val="22"/>
          <w:szCs w:val="22"/>
        </w:rPr>
        <w:t xml:space="preserve">ation and nursing home stays at substantial cost to the NHS and the patient. Consumption of </w:t>
      </w:r>
      <w:r w:rsidR="00D3603A">
        <w:rPr>
          <w:rFonts w:asciiTheme="majorHAnsi" w:hAnsiTheme="majorHAnsi" w:cs="Arial"/>
          <w:bCs/>
          <w:sz w:val="22"/>
          <w:szCs w:val="22"/>
        </w:rPr>
        <w:t>three</w:t>
      </w:r>
      <w:r w:rsidR="003419E0" w:rsidRPr="00086F1B">
        <w:rPr>
          <w:rFonts w:asciiTheme="majorHAnsi" w:hAnsiTheme="majorHAnsi" w:cs="Arial"/>
          <w:bCs/>
          <w:sz w:val="22"/>
          <w:szCs w:val="22"/>
        </w:rPr>
        <w:t xml:space="preserve"> or more cups of tea each day is a pleasant activity and according to the findings from this study helps to maintain the bone health among older women.</w:t>
      </w:r>
      <w:r w:rsidR="002A3FB9">
        <w:rPr>
          <w:rFonts w:asciiTheme="majorHAnsi" w:hAnsiTheme="majorHAnsi" w:cs="Arial"/>
          <w:bCs/>
          <w:sz w:val="22"/>
          <w:szCs w:val="22"/>
        </w:rPr>
        <w:t>”</w:t>
      </w:r>
    </w:p>
    <w:p w:rsidR="00D3603A" w:rsidRDefault="00D3603A" w:rsidP="009B309F">
      <w:pPr>
        <w:rPr>
          <w:rFonts w:asciiTheme="majorHAnsi" w:hAnsiTheme="majorHAnsi" w:cs="Arial"/>
          <w:bCs/>
          <w:sz w:val="22"/>
          <w:szCs w:val="22"/>
        </w:rPr>
      </w:pPr>
    </w:p>
    <w:p w:rsidR="00D3603A" w:rsidRPr="00611EC6" w:rsidRDefault="002A3FB9" w:rsidP="002A3FB9">
      <w:pPr>
        <w:widowControl w:val="0"/>
        <w:autoSpaceDE w:val="0"/>
        <w:autoSpaceDN w:val="0"/>
        <w:adjustRightInd w:val="0"/>
        <w:spacing w:after="240"/>
        <w:rPr>
          <w:rFonts w:ascii="Calibri" w:eastAsia="MS Mincho" w:hAnsi="Calibri" w:cs="Times"/>
          <w:sz w:val="22"/>
          <w:szCs w:val="22"/>
        </w:rPr>
      </w:pPr>
      <w:r>
        <w:rPr>
          <w:rFonts w:asciiTheme="majorHAnsi" w:hAnsiTheme="majorHAnsi" w:cs="Arial"/>
          <w:color w:val="000000"/>
          <w:sz w:val="22"/>
          <w:szCs w:val="22"/>
          <w:lang w:val="en-GB"/>
        </w:rPr>
        <w:t xml:space="preserve">In summary Dr Tim Bond notes: </w:t>
      </w:r>
      <w:r w:rsidR="00D3603A" w:rsidRPr="00AB59C5">
        <w:rPr>
          <w:rFonts w:asciiTheme="majorHAnsi" w:hAnsiTheme="majorHAnsi" w:cs="Arial"/>
          <w:color w:val="000000"/>
          <w:sz w:val="22"/>
          <w:szCs w:val="22"/>
          <w:lang w:val="en-GB"/>
        </w:rPr>
        <w:t>“</w:t>
      </w:r>
      <w:r w:rsidR="00D3603A" w:rsidRPr="00D56107">
        <w:rPr>
          <w:rFonts w:asciiTheme="majorHAnsi" w:hAnsiTheme="majorHAnsi" w:cs="Arial"/>
          <w:color w:val="000000"/>
          <w:sz w:val="22"/>
          <w:szCs w:val="22"/>
          <w:lang w:val="en-GB"/>
        </w:rPr>
        <w:t xml:space="preserve">Tea is the second most commonly consumed beverage in the world after water. </w:t>
      </w:r>
      <w:r>
        <w:rPr>
          <w:rFonts w:asciiTheme="majorHAnsi" w:hAnsiTheme="majorHAnsi" w:cs="Arial"/>
          <w:color w:val="000000"/>
          <w:sz w:val="22"/>
          <w:szCs w:val="22"/>
          <w:lang w:val="en-GB"/>
        </w:rPr>
        <w:t>As a result, t</w:t>
      </w:r>
      <w:r w:rsidR="00D3603A" w:rsidRPr="00AC468F">
        <w:rPr>
          <w:rFonts w:asciiTheme="majorHAnsi" w:hAnsiTheme="majorHAnsi" w:cs="Times"/>
        </w:rPr>
        <w:t xml:space="preserve">hese </w:t>
      </w:r>
      <w:r w:rsidR="00D3603A">
        <w:rPr>
          <w:rFonts w:asciiTheme="majorHAnsi" w:hAnsiTheme="majorHAnsi" w:cs="Times"/>
        </w:rPr>
        <w:t xml:space="preserve">latest </w:t>
      </w:r>
      <w:r>
        <w:rPr>
          <w:rFonts w:asciiTheme="majorHAnsi" w:hAnsiTheme="majorHAnsi" w:cs="Times"/>
        </w:rPr>
        <w:t xml:space="preserve">study </w:t>
      </w:r>
      <w:r w:rsidR="00D3603A" w:rsidRPr="00AC468F">
        <w:rPr>
          <w:rFonts w:asciiTheme="majorHAnsi" w:hAnsiTheme="majorHAnsi" w:cs="Times"/>
        </w:rPr>
        <w:t xml:space="preserve">findings </w:t>
      </w:r>
      <w:r w:rsidR="00D3603A">
        <w:rPr>
          <w:rFonts w:asciiTheme="majorHAnsi" w:hAnsiTheme="majorHAnsi" w:cs="Times"/>
        </w:rPr>
        <w:t xml:space="preserve">together with many other published </w:t>
      </w:r>
      <w:r w:rsidR="00D3603A" w:rsidRPr="00AC468F">
        <w:rPr>
          <w:rFonts w:asciiTheme="majorHAnsi" w:hAnsiTheme="majorHAnsi" w:cs="Times"/>
        </w:rPr>
        <w:t>studies continue to suggest that Britain’s</w:t>
      </w:r>
      <w:r w:rsidR="00D3603A">
        <w:rPr>
          <w:rFonts w:asciiTheme="majorHAnsi" w:hAnsiTheme="majorHAnsi" w:cs="Times"/>
        </w:rPr>
        <w:t>’ favorite</w:t>
      </w:r>
      <w:r w:rsidR="00D3603A" w:rsidRPr="00AC468F">
        <w:rPr>
          <w:rFonts w:asciiTheme="majorHAnsi" w:hAnsiTheme="majorHAnsi" w:cs="Times"/>
        </w:rPr>
        <w:t xml:space="preserve"> beverage is good for </w:t>
      </w:r>
      <w:r w:rsidR="00D3603A">
        <w:rPr>
          <w:rFonts w:asciiTheme="majorHAnsi" w:hAnsiTheme="majorHAnsi" w:cs="Times"/>
        </w:rPr>
        <w:t>our health including our bones, heart, vascular system and skin to name just a few health and wellbeing benefits</w:t>
      </w:r>
      <w:r>
        <w:rPr>
          <w:rFonts w:asciiTheme="majorHAnsi" w:hAnsiTheme="majorHAnsi" w:cs="Times"/>
        </w:rPr>
        <w:t>, whatever your age</w:t>
      </w:r>
      <w:r w:rsidR="00D3603A" w:rsidRPr="00AC468F">
        <w:rPr>
          <w:rFonts w:asciiTheme="majorHAnsi" w:hAnsiTheme="majorHAnsi" w:cs="Times"/>
        </w:rPr>
        <w:t>.</w:t>
      </w:r>
      <w:r w:rsidR="00D3603A">
        <w:rPr>
          <w:rFonts w:asciiTheme="majorHAnsi" w:hAnsiTheme="majorHAnsi" w:cs="Times"/>
        </w:rPr>
        <w:t>”</w:t>
      </w:r>
    </w:p>
    <w:p w:rsidR="00D3603A" w:rsidRPr="00611EC6" w:rsidRDefault="00D3603A" w:rsidP="00D3603A">
      <w:pPr>
        <w:widowControl w:val="0"/>
        <w:autoSpaceDE w:val="0"/>
        <w:autoSpaceDN w:val="0"/>
        <w:adjustRightInd w:val="0"/>
        <w:spacing w:after="240"/>
        <w:ind w:left="1440" w:firstLine="720"/>
        <w:rPr>
          <w:rFonts w:ascii="Calibri" w:eastAsia="MS Mincho" w:hAnsi="Calibri" w:cs="Arial"/>
          <w:color w:val="000000"/>
          <w:sz w:val="22"/>
          <w:szCs w:val="22"/>
          <w:lang w:val="en-GB"/>
        </w:rPr>
      </w:pPr>
      <w:r w:rsidRPr="00611EC6">
        <w:rPr>
          <w:rFonts w:ascii="Calibri" w:eastAsia="MS Mincho" w:hAnsi="Calibri" w:cs="Arial"/>
          <w:color w:val="000000"/>
          <w:sz w:val="22"/>
          <w:szCs w:val="22"/>
          <w:lang w:val="en-GB"/>
        </w:rPr>
        <w:t>-ENDS-</w:t>
      </w:r>
    </w:p>
    <w:p w:rsidR="00D3603A" w:rsidRPr="00611EC6" w:rsidRDefault="00D3603A" w:rsidP="00D3603A">
      <w:pPr>
        <w:pBdr>
          <w:top w:val="single" w:sz="4" w:space="9" w:color="auto"/>
          <w:left w:val="single" w:sz="4" w:space="4" w:color="auto"/>
          <w:bottom w:val="single" w:sz="4" w:space="1" w:color="auto"/>
          <w:right w:val="single" w:sz="4" w:space="4" w:color="auto"/>
        </w:pBdr>
        <w:rPr>
          <w:rFonts w:ascii="Calibri" w:eastAsia="Times New Roman" w:hAnsi="Calibri" w:cs="Arial"/>
          <w:sz w:val="22"/>
          <w:szCs w:val="22"/>
          <w:lang w:val="en-GB" w:eastAsia="en-GB"/>
        </w:rPr>
      </w:pPr>
      <w:r w:rsidRPr="00611EC6">
        <w:rPr>
          <w:rFonts w:ascii="Calibri" w:eastAsia="Times New Roman" w:hAnsi="Calibri" w:cs="Arial"/>
          <w:b/>
          <w:sz w:val="22"/>
          <w:szCs w:val="22"/>
          <w:lang w:val="en-GB" w:eastAsia="en-GB"/>
        </w:rPr>
        <w:t xml:space="preserve">The Tea Advisory Panel: </w:t>
      </w:r>
      <w:r w:rsidRPr="00611EC6">
        <w:rPr>
          <w:rFonts w:ascii="Calibri" w:eastAsia="Times New Roman" w:hAnsi="Calibri" w:cs="Arial"/>
          <w:color w:val="000000"/>
          <w:sz w:val="22"/>
          <w:szCs w:val="22"/>
          <w:lang w:val="en-GB" w:eastAsia="en-GB"/>
        </w:rPr>
        <w:t xml:space="preserve">The Tea Advisory Panel is supported by an unrestricted educational grant from the </w:t>
      </w:r>
      <w:r w:rsidRPr="00611EC6">
        <w:rPr>
          <w:rFonts w:ascii="Calibri" w:eastAsia="Times New Roman" w:hAnsi="Calibri" w:cs="Arial"/>
          <w:b/>
          <w:color w:val="000000"/>
          <w:sz w:val="22"/>
          <w:szCs w:val="22"/>
          <w:lang w:val="en-GB" w:eastAsia="en-GB"/>
        </w:rPr>
        <w:t>UK TEA &amp; INFUSIONS ASSOCIATION</w:t>
      </w:r>
      <w:r w:rsidRPr="00611EC6">
        <w:rPr>
          <w:rFonts w:ascii="Calibri" w:eastAsia="Times New Roman" w:hAnsi="Calibri" w:cs="Arial"/>
          <w:color w:val="000000"/>
          <w:sz w:val="22"/>
          <w:szCs w:val="22"/>
          <w:lang w:val="en-GB" w:eastAsia="en-GB"/>
        </w:rPr>
        <w:t xml:space="preserve">, the trade association for the UK tea industry. The Panel has been created to provide media with impartial information regarding the health benefits of tea. Panel members include nutritionists; dieticians and doctors.  </w:t>
      </w:r>
    </w:p>
    <w:p w:rsidR="00D3603A" w:rsidRPr="00611EC6" w:rsidRDefault="00D3603A" w:rsidP="00D3603A">
      <w:pPr>
        <w:widowControl w:val="0"/>
        <w:autoSpaceDE w:val="0"/>
        <w:autoSpaceDN w:val="0"/>
        <w:adjustRightInd w:val="0"/>
        <w:spacing w:after="240"/>
        <w:jc w:val="center"/>
        <w:rPr>
          <w:rFonts w:ascii="Calibri" w:eastAsia="MS Mincho" w:hAnsi="Calibri" w:cs="Times"/>
          <w:sz w:val="22"/>
          <w:szCs w:val="22"/>
        </w:rPr>
      </w:pPr>
    </w:p>
    <w:p w:rsidR="00D3603A" w:rsidRPr="00611EC6" w:rsidRDefault="00D3603A" w:rsidP="00D3603A">
      <w:pPr>
        <w:rPr>
          <w:rFonts w:ascii="Calibri" w:eastAsia="Times New Roman" w:hAnsi="Calibri" w:cs="Arial"/>
          <w:sz w:val="22"/>
          <w:szCs w:val="20"/>
          <w:lang w:val="en-GB" w:eastAsia="en-GB"/>
        </w:rPr>
      </w:pPr>
      <w:r w:rsidRPr="00611EC6">
        <w:rPr>
          <w:rFonts w:ascii="Calibri" w:eastAsia="Times New Roman" w:hAnsi="Calibri" w:cs="Arial"/>
          <w:color w:val="000000"/>
          <w:sz w:val="22"/>
          <w:szCs w:val="20"/>
          <w:lang w:val="en-GB" w:eastAsia="en-GB"/>
        </w:rPr>
        <w:t>For further information please</w:t>
      </w:r>
      <w:r w:rsidRPr="00611EC6">
        <w:rPr>
          <w:rFonts w:ascii="Calibri" w:eastAsia="Times New Roman" w:hAnsi="Calibri" w:cs="Arial"/>
          <w:sz w:val="22"/>
          <w:szCs w:val="20"/>
          <w:lang w:val="en-GB" w:eastAsia="en-GB"/>
        </w:rPr>
        <w:t xml:space="preserve"> contact: </w:t>
      </w:r>
    </w:p>
    <w:p w:rsidR="00D3603A" w:rsidRPr="002C527F" w:rsidRDefault="00D3603A" w:rsidP="00D3603A">
      <w:pPr>
        <w:pStyle w:val="ListParagraph"/>
        <w:numPr>
          <w:ilvl w:val="0"/>
          <w:numId w:val="1"/>
        </w:numPr>
        <w:rPr>
          <w:rFonts w:ascii="Calibri" w:eastAsia="Times New Roman" w:hAnsi="Calibri" w:cs="Arial"/>
          <w:sz w:val="22"/>
          <w:szCs w:val="20"/>
          <w:lang w:val="en-GB" w:eastAsia="en-GB"/>
        </w:rPr>
      </w:pPr>
      <w:r w:rsidRPr="002C527F">
        <w:rPr>
          <w:rFonts w:ascii="Calibri" w:eastAsia="Times New Roman" w:hAnsi="Calibri" w:cs="Arial"/>
          <w:b/>
          <w:sz w:val="22"/>
          <w:szCs w:val="20"/>
          <w:lang w:val="en-GB" w:eastAsia="en-GB"/>
        </w:rPr>
        <w:t>Nicky Smith:</w:t>
      </w:r>
      <w:r w:rsidRPr="002C527F">
        <w:rPr>
          <w:rFonts w:ascii="Calibri" w:eastAsia="Times New Roman" w:hAnsi="Calibri" w:cs="Arial"/>
          <w:sz w:val="22"/>
          <w:szCs w:val="20"/>
          <w:lang w:val="en-GB" w:eastAsia="en-GB"/>
        </w:rPr>
        <w:t xml:space="preserve"> nicky.smith@nexuspr.com/ 0207 052 8850</w:t>
      </w:r>
    </w:p>
    <w:p w:rsidR="00D3603A" w:rsidRPr="002C527F" w:rsidRDefault="00D3603A" w:rsidP="00D3603A">
      <w:pPr>
        <w:pStyle w:val="ListParagraph"/>
        <w:numPr>
          <w:ilvl w:val="0"/>
          <w:numId w:val="1"/>
        </w:numPr>
        <w:rPr>
          <w:rFonts w:ascii="Calibri" w:eastAsia="Times New Roman" w:hAnsi="Calibri" w:cs="Arial"/>
          <w:sz w:val="22"/>
          <w:szCs w:val="20"/>
          <w:lang w:val="en-GB" w:eastAsia="en-GB"/>
        </w:rPr>
      </w:pPr>
      <w:r w:rsidRPr="002C527F">
        <w:rPr>
          <w:rFonts w:ascii="Calibri" w:eastAsia="Times New Roman" w:hAnsi="Calibri" w:cs="Arial"/>
          <w:b/>
          <w:sz w:val="22"/>
          <w:szCs w:val="20"/>
          <w:lang w:val="en-GB" w:eastAsia="en-GB"/>
        </w:rPr>
        <w:t xml:space="preserve">Isla Haslam: </w:t>
      </w:r>
      <w:r w:rsidRPr="002C527F">
        <w:rPr>
          <w:rFonts w:ascii="Calibri" w:eastAsia="Times New Roman" w:hAnsi="Calibri" w:cs="Arial"/>
          <w:sz w:val="22"/>
          <w:szCs w:val="20"/>
          <w:lang w:val="en-GB" w:eastAsia="en-GB"/>
        </w:rPr>
        <w:t>isla.</w:t>
      </w:r>
      <w:r w:rsidR="002A3FB9">
        <w:rPr>
          <w:rFonts w:ascii="Calibri" w:eastAsia="Times New Roman" w:hAnsi="Calibri" w:cs="Arial"/>
          <w:sz w:val="22"/>
          <w:szCs w:val="20"/>
          <w:lang w:val="en-GB" w:eastAsia="en-GB"/>
        </w:rPr>
        <w:t>haslam@nexuspr.com / 0207528880</w:t>
      </w:r>
    </w:p>
    <w:p w:rsidR="00D3603A" w:rsidRPr="00086F1B" w:rsidRDefault="00D3603A" w:rsidP="009B309F">
      <w:pPr>
        <w:rPr>
          <w:rFonts w:asciiTheme="majorHAnsi" w:hAnsiTheme="majorHAnsi"/>
          <w:sz w:val="22"/>
          <w:szCs w:val="22"/>
        </w:rPr>
      </w:pPr>
    </w:p>
    <w:sectPr w:rsidR="00D3603A" w:rsidRPr="00086F1B" w:rsidSect="00D3603A">
      <w:pgSz w:w="11900" w:h="16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16B" w:rsidRDefault="00CE416B" w:rsidP="00CE416B">
      <w:r>
        <w:separator/>
      </w:r>
    </w:p>
  </w:endnote>
  <w:endnote w:type="continuationSeparator" w:id="0">
    <w:p w:rsidR="00CE416B" w:rsidRDefault="00CE416B" w:rsidP="00CE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16B" w:rsidRDefault="00CE416B" w:rsidP="00CE416B">
      <w:r>
        <w:separator/>
      </w:r>
    </w:p>
  </w:footnote>
  <w:footnote w:type="continuationSeparator" w:id="0">
    <w:p w:rsidR="00CE416B" w:rsidRDefault="00CE416B" w:rsidP="00CE416B">
      <w:r>
        <w:continuationSeparator/>
      </w:r>
    </w:p>
  </w:footnote>
  <w:footnote w:id="1">
    <w:p w:rsidR="00CE416B" w:rsidRPr="00CE416B" w:rsidRDefault="00CE416B" w:rsidP="00CE416B">
      <w:pPr>
        <w:rPr>
          <w:rFonts w:asciiTheme="majorHAnsi" w:eastAsia="Times New Roman" w:hAnsiTheme="majorHAnsi" w:cs="Times New Roman"/>
          <w:sz w:val="20"/>
          <w:szCs w:val="20"/>
          <w:lang w:val="en-GB"/>
        </w:rPr>
      </w:pPr>
      <w:r w:rsidRPr="00CE416B">
        <w:rPr>
          <w:rStyle w:val="FootnoteReference"/>
          <w:rFonts w:asciiTheme="majorHAnsi" w:hAnsiTheme="majorHAnsi"/>
          <w:sz w:val="20"/>
          <w:szCs w:val="20"/>
        </w:rPr>
        <w:footnoteRef/>
      </w:r>
      <w:r w:rsidRPr="00CE416B">
        <w:rPr>
          <w:rFonts w:asciiTheme="majorHAnsi" w:hAnsiTheme="majorHAnsi"/>
          <w:sz w:val="20"/>
          <w:szCs w:val="20"/>
        </w:rPr>
        <w:t xml:space="preserve"> </w:t>
      </w:r>
      <w:hyperlink r:id="rId1" w:history="1">
        <w:r w:rsidRPr="00CE416B">
          <w:rPr>
            <w:rFonts w:asciiTheme="majorHAnsi" w:hAnsiTheme="majorHAnsi" w:cs="Arial"/>
            <w:sz w:val="20"/>
            <w:szCs w:val="20"/>
          </w:rPr>
          <w:t>Myers G</w:t>
        </w:r>
      </w:hyperlink>
      <w:r w:rsidRPr="00CE416B">
        <w:rPr>
          <w:rFonts w:asciiTheme="majorHAnsi" w:hAnsiTheme="majorHAnsi" w:cs="Arial"/>
          <w:sz w:val="20"/>
          <w:szCs w:val="20"/>
        </w:rPr>
        <w:t>1, </w:t>
      </w:r>
      <w:hyperlink r:id="rId2" w:history="1">
        <w:r w:rsidRPr="00CE416B">
          <w:rPr>
            <w:rFonts w:asciiTheme="majorHAnsi" w:hAnsiTheme="majorHAnsi" w:cs="Arial"/>
            <w:sz w:val="20"/>
            <w:szCs w:val="20"/>
          </w:rPr>
          <w:t>Prince RL</w:t>
        </w:r>
      </w:hyperlink>
      <w:r w:rsidRPr="00CE416B">
        <w:rPr>
          <w:rFonts w:asciiTheme="majorHAnsi" w:hAnsiTheme="majorHAnsi" w:cs="Arial"/>
          <w:sz w:val="20"/>
          <w:szCs w:val="20"/>
        </w:rPr>
        <w:t>2, </w:t>
      </w:r>
      <w:hyperlink r:id="rId3" w:history="1">
        <w:r w:rsidRPr="00CE416B">
          <w:rPr>
            <w:rFonts w:asciiTheme="majorHAnsi" w:hAnsiTheme="majorHAnsi" w:cs="Arial"/>
            <w:sz w:val="20"/>
            <w:szCs w:val="20"/>
          </w:rPr>
          <w:t>Kerr DA</w:t>
        </w:r>
      </w:hyperlink>
      <w:r w:rsidRPr="00CE416B">
        <w:rPr>
          <w:rFonts w:asciiTheme="majorHAnsi" w:hAnsiTheme="majorHAnsi" w:cs="Arial"/>
          <w:sz w:val="20"/>
          <w:szCs w:val="20"/>
        </w:rPr>
        <w:t>3, </w:t>
      </w:r>
      <w:hyperlink r:id="rId4" w:history="1">
        <w:r w:rsidRPr="00CE416B">
          <w:rPr>
            <w:rFonts w:asciiTheme="majorHAnsi" w:hAnsiTheme="majorHAnsi" w:cs="Arial"/>
            <w:sz w:val="20"/>
            <w:szCs w:val="20"/>
          </w:rPr>
          <w:t>Devine A</w:t>
        </w:r>
      </w:hyperlink>
      <w:r w:rsidRPr="00CE416B">
        <w:rPr>
          <w:rFonts w:asciiTheme="majorHAnsi" w:hAnsiTheme="majorHAnsi" w:cs="Arial"/>
          <w:sz w:val="20"/>
          <w:szCs w:val="20"/>
        </w:rPr>
        <w:t>4, </w:t>
      </w:r>
      <w:hyperlink r:id="rId5" w:history="1">
        <w:r w:rsidRPr="00CE416B">
          <w:rPr>
            <w:rFonts w:asciiTheme="majorHAnsi" w:hAnsiTheme="majorHAnsi" w:cs="Arial"/>
            <w:sz w:val="20"/>
            <w:szCs w:val="20"/>
          </w:rPr>
          <w:t>Woodman RJ</w:t>
        </w:r>
      </w:hyperlink>
      <w:r w:rsidRPr="00CE416B">
        <w:rPr>
          <w:rFonts w:asciiTheme="majorHAnsi" w:hAnsiTheme="majorHAnsi" w:cs="Arial"/>
          <w:sz w:val="20"/>
          <w:szCs w:val="20"/>
        </w:rPr>
        <w:t>5, </w:t>
      </w:r>
      <w:hyperlink r:id="rId6" w:history="1">
        <w:r w:rsidRPr="00CE416B">
          <w:rPr>
            <w:rFonts w:asciiTheme="majorHAnsi" w:hAnsiTheme="majorHAnsi" w:cs="Arial"/>
            <w:sz w:val="20"/>
            <w:szCs w:val="20"/>
          </w:rPr>
          <w:t>Lewis JR</w:t>
        </w:r>
      </w:hyperlink>
      <w:r w:rsidRPr="00CE416B">
        <w:rPr>
          <w:rFonts w:asciiTheme="majorHAnsi" w:hAnsiTheme="majorHAnsi" w:cs="Arial"/>
          <w:sz w:val="20"/>
          <w:szCs w:val="20"/>
        </w:rPr>
        <w:t>2, </w:t>
      </w:r>
      <w:hyperlink r:id="rId7" w:history="1">
        <w:r w:rsidRPr="00CE416B">
          <w:rPr>
            <w:rFonts w:asciiTheme="majorHAnsi" w:hAnsiTheme="majorHAnsi" w:cs="Arial"/>
            <w:sz w:val="20"/>
            <w:szCs w:val="20"/>
          </w:rPr>
          <w:t>Hodgson JM</w:t>
        </w:r>
      </w:hyperlink>
      <w:r w:rsidRPr="00CE416B">
        <w:rPr>
          <w:rFonts w:asciiTheme="majorHAnsi" w:hAnsiTheme="majorHAnsi" w:cs="Arial"/>
          <w:sz w:val="20"/>
          <w:szCs w:val="20"/>
        </w:rPr>
        <w:t xml:space="preserve">6. </w:t>
      </w:r>
      <w:r w:rsidRPr="00CE416B">
        <w:rPr>
          <w:rFonts w:asciiTheme="majorHAnsi" w:hAnsiTheme="majorHAnsi" w:cs="Arial"/>
          <w:bCs/>
          <w:sz w:val="20"/>
          <w:szCs w:val="20"/>
        </w:rPr>
        <w:t>Tea and flavonoid intake predict osteoporotic fracture risk in elderly Australian women: a prospective study.</w:t>
      </w:r>
      <w:r w:rsidRPr="00CE416B">
        <w:rPr>
          <w:rFonts w:asciiTheme="majorHAnsi" w:eastAsia="Times New Roman" w:hAnsiTheme="majorHAnsi" w:cs="Arial"/>
          <w:color w:val="000000"/>
          <w:sz w:val="20"/>
          <w:szCs w:val="20"/>
          <w:shd w:val="clear" w:color="auto" w:fill="FFFFFF"/>
        </w:rPr>
        <w:t xml:space="preserve"> </w:t>
      </w:r>
      <w:hyperlink r:id="rId8" w:tooltip="The American journal of clinical nutrition." w:history="1">
        <w:r w:rsidRPr="00CE416B">
          <w:rPr>
            <w:rFonts w:asciiTheme="majorHAnsi" w:eastAsia="Times New Roman" w:hAnsiTheme="majorHAnsi" w:cs="Arial"/>
            <w:sz w:val="20"/>
            <w:szCs w:val="20"/>
            <w:shd w:val="clear" w:color="auto" w:fill="FFFFFF"/>
            <w:lang w:val="en-GB"/>
          </w:rPr>
          <w:t>Am J Clin Nutr.</w:t>
        </w:r>
      </w:hyperlink>
      <w:r w:rsidRPr="00CE416B">
        <w:rPr>
          <w:rFonts w:asciiTheme="majorHAnsi" w:eastAsia="Times New Roman" w:hAnsiTheme="majorHAnsi" w:cs="Arial"/>
          <w:sz w:val="20"/>
          <w:szCs w:val="20"/>
          <w:shd w:val="clear" w:color="auto" w:fill="FFFFFF"/>
          <w:lang w:val="en-GB"/>
        </w:rPr>
        <w:t> </w:t>
      </w:r>
      <w:r w:rsidR="007B4867">
        <w:rPr>
          <w:rFonts w:asciiTheme="majorHAnsi" w:eastAsia="Times New Roman" w:hAnsiTheme="majorHAnsi" w:cs="Arial"/>
          <w:sz w:val="20"/>
          <w:szCs w:val="20"/>
          <w:shd w:val="clear" w:color="auto" w:fill="FFFFFF"/>
          <w:lang w:val="en-GB"/>
        </w:rPr>
        <w:t>Published by The Royal Society of Medicine, January 2016</w:t>
      </w:r>
      <w:bookmarkStart w:id="0" w:name="_GoBack"/>
      <w:bookmarkEnd w:id="0"/>
    </w:p>
    <w:p w:rsidR="00CE416B" w:rsidRPr="00CE416B" w:rsidRDefault="00CE416B" w:rsidP="00CE416B">
      <w:pPr>
        <w:widowControl w:val="0"/>
        <w:autoSpaceDE w:val="0"/>
        <w:autoSpaceDN w:val="0"/>
        <w:adjustRightInd w:val="0"/>
        <w:rPr>
          <w:rFonts w:asciiTheme="majorHAnsi" w:hAnsiTheme="majorHAnsi" w:cs="Arial"/>
          <w:sz w:val="20"/>
          <w:szCs w:val="20"/>
        </w:rPr>
      </w:pPr>
    </w:p>
    <w:p w:rsidR="00CE416B" w:rsidRPr="00CE416B" w:rsidRDefault="00CE416B">
      <w:pPr>
        <w:pStyle w:val="FootnoteText"/>
        <w:rPr>
          <w:rFonts w:asciiTheme="majorHAnsi" w:hAnsiTheme="majorHAnsi"/>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41399"/>
    <w:multiLevelType w:val="hybridMultilevel"/>
    <w:tmpl w:val="2B608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9F"/>
    <w:rsid w:val="00086F1B"/>
    <w:rsid w:val="0013281B"/>
    <w:rsid w:val="002A3FB9"/>
    <w:rsid w:val="002C3155"/>
    <w:rsid w:val="003419E0"/>
    <w:rsid w:val="007B4867"/>
    <w:rsid w:val="009B309F"/>
    <w:rsid w:val="00CE416B"/>
    <w:rsid w:val="00D3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A038D53-0982-4FA7-ABEE-49DCAD27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416B"/>
  </w:style>
  <w:style w:type="character" w:customStyle="1" w:styleId="FootnoteTextChar">
    <w:name w:val="Footnote Text Char"/>
    <w:basedOn w:val="DefaultParagraphFont"/>
    <w:link w:val="FootnoteText"/>
    <w:uiPriority w:val="99"/>
    <w:rsid w:val="00CE416B"/>
  </w:style>
  <w:style w:type="character" w:styleId="FootnoteReference">
    <w:name w:val="footnote reference"/>
    <w:basedOn w:val="DefaultParagraphFont"/>
    <w:uiPriority w:val="99"/>
    <w:unhideWhenUsed/>
    <w:rsid w:val="00CE416B"/>
    <w:rPr>
      <w:vertAlign w:val="superscript"/>
    </w:rPr>
  </w:style>
  <w:style w:type="character" w:styleId="Hyperlink">
    <w:name w:val="Hyperlink"/>
    <w:basedOn w:val="DefaultParagraphFont"/>
    <w:uiPriority w:val="99"/>
    <w:semiHidden/>
    <w:unhideWhenUsed/>
    <w:rsid w:val="00CE416B"/>
    <w:rPr>
      <w:color w:val="0000FF"/>
      <w:u w:val="single"/>
    </w:rPr>
  </w:style>
  <w:style w:type="character" w:customStyle="1" w:styleId="apple-converted-space">
    <w:name w:val="apple-converted-space"/>
    <w:basedOn w:val="DefaultParagraphFont"/>
    <w:rsid w:val="00CE416B"/>
  </w:style>
  <w:style w:type="paragraph" w:styleId="ListParagraph">
    <w:name w:val="List Paragraph"/>
    <w:basedOn w:val="Normal"/>
    <w:uiPriority w:val="34"/>
    <w:qFormat/>
    <w:rsid w:val="00D36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5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term=Tea+and+flavonoid+intake+predict+osteoporotic+fracture+risk+in+elderly+Australian+women%3A+a+prospective+study." TargetMode="External"/><Relationship Id="rId3" Type="http://schemas.openxmlformats.org/officeDocument/2006/relationships/hyperlink" Target="http://www.ncbi.nlm.nih.gov/pubmed/?term=Kerr%20DA%5BAuthor%5D&amp;cauthor=true&amp;cauthor_uid=26269364" TargetMode="External"/><Relationship Id="rId7" Type="http://schemas.openxmlformats.org/officeDocument/2006/relationships/hyperlink" Target="http://www.ncbi.nlm.nih.gov/pubmed/?term=Hodgson%20JM%5BAuthor%5D&amp;cauthor=true&amp;cauthor_uid=26269364" TargetMode="External"/><Relationship Id="rId2" Type="http://schemas.openxmlformats.org/officeDocument/2006/relationships/hyperlink" Target="http://www.ncbi.nlm.nih.gov/pubmed/?term=Prince%20RL%5BAuthor%5D&amp;cauthor=true&amp;cauthor_uid=26269364" TargetMode="External"/><Relationship Id="rId1" Type="http://schemas.openxmlformats.org/officeDocument/2006/relationships/hyperlink" Target="http://www.ncbi.nlm.nih.gov/pubmed/?term=Myers%20G%5BAuthor%5D&amp;cauthor=true&amp;cauthor_uid=26269364" TargetMode="External"/><Relationship Id="rId6" Type="http://schemas.openxmlformats.org/officeDocument/2006/relationships/hyperlink" Target="http://www.ncbi.nlm.nih.gov/pubmed/?term=Lewis%20JR%5BAuthor%5D&amp;cauthor=true&amp;cauthor_uid=26269364" TargetMode="External"/><Relationship Id="rId5" Type="http://schemas.openxmlformats.org/officeDocument/2006/relationships/hyperlink" Target="http://www.ncbi.nlm.nih.gov/pubmed/?term=Woodman%20RJ%5BAuthor%5D&amp;cauthor=true&amp;cauthor_uid=26269364" TargetMode="External"/><Relationship Id="rId4" Type="http://schemas.openxmlformats.org/officeDocument/2006/relationships/hyperlink" Target="http://www.ncbi.nlm.nih.gov/pubmed/?term=Devine%20A%5BAuthor%5D&amp;cauthor=true&amp;cauthor_uid=26269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Mason</dc:creator>
  <cp:keywords/>
  <dc:description/>
  <cp:lastModifiedBy>Nicky Smith</cp:lastModifiedBy>
  <cp:revision>4</cp:revision>
  <dcterms:created xsi:type="dcterms:W3CDTF">2016-01-18T14:47:00Z</dcterms:created>
  <dcterms:modified xsi:type="dcterms:W3CDTF">2016-01-28T10:50:00Z</dcterms:modified>
</cp:coreProperties>
</file>