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CF0AA" w14:textId="77777777" w:rsidR="00F236BD" w:rsidRDefault="00F236BD" w:rsidP="00477EE4">
      <w:pPr>
        <w:widowControl w:val="0"/>
        <w:autoSpaceDE w:val="0"/>
        <w:autoSpaceDN w:val="0"/>
        <w:adjustRightInd w:val="0"/>
        <w:jc w:val="center"/>
        <w:rPr>
          <w:rFonts w:asciiTheme="majorHAnsi" w:hAnsiTheme="majorHAnsi" w:cs="Times"/>
          <w:b/>
          <w:sz w:val="22"/>
          <w:szCs w:val="22"/>
        </w:rPr>
      </w:pPr>
    </w:p>
    <w:p w14:paraId="4A496327" w14:textId="2EDAC344" w:rsidR="00F236BD" w:rsidRDefault="00F236BD" w:rsidP="00477EE4">
      <w:pPr>
        <w:widowControl w:val="0"/>
        <w:autoSpaceDE w:val="0"/>
        <w:autoSpaceDN w:val="0"/>
        <w:adjustRightInd w:val="0"/>
        <w:jc w:val="center"/>
        <w:rPr>
          <w:rFonts w:asciiTheme="majorHAnsi" w:hAnsiTheme="majorHAnsi" w:cs="Times"/>
          <w:b/>
          <w:sz w:val="22"/>
          <w:szCs w:val="22"/>
        </w:rPr>
      </w:pPr>
      <w:r w:rsidRPr="00F236BD">
        <w:rPr>
          <w:rFonts w:ascii="Times New Roman" w:eastAsia="Times New Roman" w:hAnsi="Times New Roman" w:cs="Times New Roman"/>
          <w:noProof/>
          <w:lang w:val="en-GB" w:eastAsia="en-GB"/>
        </w:rPr>
        <w:drawing>
          <wp:inline distT="0" distB="0" distL="0" distR="0" wp14:anchorId="3776D8C2" wp14:editId="161B42B4">
            <wp:extent cx="914400" cy="768350"/>
            <wp:effectExtent l="0" t="0" r="0" b="0"/>
            <wp:docPr id="1" name="Picture 1" descr="tap logo 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p logo approv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768350"/>
                    </a:xfrm>
                    <a:prstGeom prst="rect">
                      <a:avLst/>
                    </a:prstGeom>
                    <a:noFill/>
                    <a:ln>
                      <a:noFill/>
                    </a:ln>
                  </pic:spPr>
                </pic:pic>
              </a:graphicData>
            </a:graphic>
          </wp:inline>
        </w:drawing>
      </w:r>
      <w:bookmarkStart w:id="0" w:name="_GoBack"/>
      <w:bookmarkEnd w:id="0"/>
    </w:p>
    <w:p w14:paraId="3BDF06D5" w14:textId="77777777" w:rsidR="00F236BD" w:rsidRDefault="00F236BD" w:rsidP="00477EE4">
      <w:pPr>
        <w:widowControl w:val="0"/>
        <w:autoSpaceDE w:val="0"/>
        <w:autoSpaceDN w:val="0"/>
        <w:adjustRightInd w:val="0"/>
        <w:jc w:val="center"/>
        <w:rPr>
          <w:rFonts w:asciiTheme="majorHAnsi" w:hAnsiTheme="majorHAnsi" w:cs="Times"/>
          <w:b/>
          <w:sz w:val="22"/>
          <w:szCs w:val="22"/>
        </w:rPr>
      </w:pPr>
    </w:p>
    <w:p w14:paraId="7615FB28" w14:textId="77777777" w:rsidR="00F236BD" w:rsidRDefault="00F236BD" w:rsidP="00477EE4">
      <w:pPr>
        <w:widowControl w:val="0"/>
        <w:autoSpaceDE w:val="0"/>
        <w:autoSpaceDN w:val="0"/>
        <w:adjustRightInd w:val="0"/>
        <w:jc w:val="center"/>
        <w:rPr>
          <w:rFonts w:asciiTheme="majorHAnsi" w:hAnsiTheme="majorHAnsi" w:cs="Times"/>
          <w:b/>
          <w:sz w:val="22"/>
          <w:szCs w:val="22"/>
        </w:rPr>
      </w:pPr>
    </w:p>
    <w:p w14:paraId="4759A6BC" w14:textId="77777777" w:rsidR="00477EE4" w:rsidRPr="00AB59C5" w:rsidRDefault="00477EE4" w:rsidP="00477EE4">
      <w:pPr>
        <w:widowControl w:val="0"/>
        <w:autoSpaceDE w:val="0"/>
        <w:autoSpaceDN w:val="0"/>
        <w:adjustRightInd w:val="0"/>
        <w:jc w:val="center"/>
        <w:rPr>
          <w:rFonts w:asciiTheme="majorHAnsi" w:hAnsiTheme="majorHAnsi" w:cs="Times"/>
          <w:b/>
          <w:sz w:val="22"/>
          <w:szCs w:val="22"/>
        </w:rPr>
      </w:pPr>
      <w:r w:rsidRPr="00AB59C5">
        <w:rPr>
          <w:rFonts w:asciiTheme="majorHAnsi" w:hAnsiTheme="majorHAnsi" w:cs="Times"/>
          <w:b/>
          <w:sz w:val="22"/>
          <w:szCs w:val="22"/>
        </w:rPr>
        <w:t>TEA UP</w:t>
      </w:r>
    </w:p>
    <w:p w14:paraId="555E6153" w14:textId="77777777" w:rsidR="00626D89" w:rsidRPr="00AB59C5" w:rsidRDefault="00611EC6" w:rsidP="00477EE4">
      <w:pPr>
        <w:widowControl w:val="0"/>
        <w:autoSpaceDE w:val="0"/>
        <w:autoSpaceDN w:val="0"/>
        <w:adjustRightInd w:val="0"/>
        <w:jc w:val="center"/>
        <w:rPr>
          <w:rFonts w:asciiTheme="majorHAnsi" w:hAnsiTheme="majorHAnsi" w:cs="Times"/>
          <w:b/>
          <w:i/>
          <w:sz w:val="22"/>
          <w:szCs w:val="22"/>
        </w:rPr>
      </w:pPr>
      <w:r w:rsidRPr="00AB59C5">
        <w:rPr>
          <w:rFonts w:asciiTheme="majorHAnsi" w:hAnsiTheme="majorHAnsi" w:cs="Times"/>
          <w:b/>
          <w:i/>
          <w:sz w:val="22"/>
          <w:szCs w:val="22"/>
        </w:rPr>
        <w:t>TWO CUPS OF TEA A DAY ASSOCIATED WITH 40% REDUCTION IN MORTALITY</w:t>
      </w:r>
    </w:p>
    <w:p w14:paraId="20C87DA1" w14:textId="77777777" w:rsidR="00626D89" w:rsidRPr="00AB59C5" w:rsidRDefault="00626D89" w:rsidP="00626D89">
      <w:pPr>
        <w:widowControl w:val="0"/>
        <w:autoSpaceDE w:val="0"/>
        <w:autoSpaceDN w:val="0"/>
        <w:adjustRightInd w:val="0"/>
        <w:spacing w:after="240"/>
        <w:rPr>
          <w:rFonts w:asciiTheme="majorHAnsi" w:hAnsiTheme="majorHAnsi" w:cs="Times"/>
          <w:sz w:val="22"/>
          <w:szCs w:val="22"/>
        </w:rPr>
      </w:pPr>
      <w:r w:rsidRPr="00AB59C5">
        <w:rPr>
          <w:rFonts w:asciiTheme="majorHAnsi" w:hAnsiTheme="majorHAnsi" w:cs="Times"/>
          <w:sz w:val="22"/>
          <w:szCs w:val="22"/>
        </w:rPr>
        <w:t xml:space="preserve">Two cups of tea a day is associated with a 40% reduction in risk of mortality from all causes </w:t>
      </w:r>
      <w:r w:rsidR="00611EC6" w:rsidRPr="00AB59C5">
        <w:rPr>
          <w:rFonts w:asciiTheme="majorHAnsi" w:hAnsiTheme="majorHAnsi" w:cs="Times"/>
          <w:sz w:val="22"/>
          <w:szCs w:val="22"/>
        </w:rPr>
        <w:t xml:space="preserve">according to new research just published </w:t>
      </w:r>
      <w:r w:rsidRPr="00AB59C5">
        <w:rPr>
          <w:rFonts w:asciiTheme="majorHAnsi" w:hAnsiTheme="majorHAnsi" w:cs="Times"/>
          <w:sz w:val="22"/>
          <w:szCs w:val="22"/>
        </w:rPr>
        <w:t>in the American Journal of Nutrition</w:t>
      </w:r>
      <w:r w:rsidR="00AB59C5" w:rsidRPr="00AB59C5">
        <w:rPr>
          <w:rFonts w:asciiTheme="majorHAnsi" w:hAnsiTheme="majorHAnsi" w:cs="Times"/>
          <w:sz w:val="22"/>
          <w:szCs w:val="22"/>
        </w:rPr>
        <w:t>.</w:t>
      </w:r>
      <w:r w:rsidRPr="00AB59C5">
        <w:rPr>
          <w:rStyle w:val="FootnoteReference"/>
          <w:rFonts w:asciiTheme="majorHAnsi" w:hAnsiTheme="majorHAnsi" w:cs="Times"/>
          <w:sz w:val="22"/>
          <w:szCs w:val="22"/>
        </w:rPr>
        <w:footnoteReference w:id="1"/>
      </w:r>
    </w:p>
    <w:p w14:paraId="4688401C" w14:textId="77777777" w:rsidR="00626D89" w:rsidRPr="00AB59C5" w:rsidRDefault="00611EC6" w:rsidP="00626D89">
      <w:pPr>
        <w:widowControl w:val="0"/>
        <w:autoSpaceDE w:val="0"/>
        <w:autoSpaceDN w:val="0"/>
        <w:adjustRightInd w:val="0"/>
        <w:spacing w:after="240"/>
        <w:rPr>
          <w:rFonts w:asciiTheme="majorHAnsi" w:hAnsiTheme="majorHAnsi" w:cs="Times"/>
          <w:sz w:val="22"/>
          <w:szCs w:val="22"/>
        </w:rPr>
      </w:pPr>
      <w:r w:rsidRPr="00AB59C5">
        <w:rPr>
          <w:rFonts w:asciiTheme="majorHAnsi" w:hAnsiTheme="majorHAnsi" w:cs="Times"/>
          <w:sz w:val="22"/>
          <w:szCs w:val="22"/>
        </w:rPr>
        <w:t xml:space="preserve">Commenting on the new research, Dr Catherine Hood </w:t>
      </w:r>
      <w:r w:rsidR="002C527F" w:rsidRPr="00AB59C5">
        <w:rPr>
          <w:rFonts w:asciiTheme="majorHAnsi" w:hAnsiTheme="majorHAnsi" w:cs="Times"/>
          <w:sz w:val="22"/>
          <w:szCs w:val="22"/>
        </w:rPr>
        <w:t xml:space="preserve">from the Tea Advisory Panel (TAP) </w:t>
      </w:r>
      <w:r w:rsidRPr="00AB59C5">
        <w:rPr>
          <w:rFonts w:asciiTheme="majorHAnsi" w:hAnsiTheme="majorHAnsi" w:cs="Times"/>
          <w:sz w:val="22"/>
          <w:szCs w:val="22"/>
        </w:rPr>
        <w:t>notes: “</w:t>
      </w:r>
      <w:r w:rsidR="00626D89" w:rsidRPr="00AB59C5">
        <w:rPr>
          <w:rFonts w:asciiTheme="majorHAnsi" w:hAnsiTheme="majorHAnsi" w:cs="Times"/>
          <w:sz w:val="22"/>
          <w:szCs w:val="22"/>
        </w:rPr>
        <w:t>Tea is a major source of flavonoid compounds in the British and</w:t>
      </w:r>
      <w:r w:rsidRPr="00AB59C5">
        <w:rPr>
          <w:rFonts w:asciiTheme="majorHAnsi" w:hAnsiTheme="majorHAnsi" w:cs="Times"/>
          <w:sz w:val="22"/>
          <w:szCs w:val="22"/>
        </w:rPr>
        <w:t xml:space="preserve"> indeed the</w:t>
      </w:r>
      <w:r w:rsidR="00626D89" w:rsidRPr="00AB59C5">
        <w:rPr>
          <w:rFonts w:asciiTheme="majorHAnsi" w:hAnsiTheme="majorHAnsi" w:cs="Times"/>
          <w:sz w:val="22"/>
          <w:szCs w:val="22"/>
        </w:rPr>
        <w:t xml:space="preserve"> Australian diet</w:t>
      </w:r>
      <w:r w:rsidRPr="00AB59C5">
        <w:rPr>
          <w:rFonts w:asciiTheme="majorHAnsi" w:hAnsiTheme="majorHAnsi" w:cs="Times"/>
          <w:sz w:val="22"/>
          <w:szCs w:val="22"/>
        </w:rPr>
        <w:t xml:space="preserve"> where this </w:t>
      </w:r>
      <w:r w:rsidR="00AB59C5">
        <w:rPr>
          <w:rFonts w:asciiTheme="majorHAnsi" w:hAnsiTheme="majorHAnsi" w:cs="Times"/>
          <w:sz w:val="22"/>
          <w:szCs w:val="22"/>
        </w:rPr>
        <w:t>research data was undertaken.</w:t>
      </w:r>
      <w:r w:rsidR="00626D89" w:rsidRPr="00AB59C5">
        <w:rPr>
          <w:rFonts w:asciiTheme="majorHAnsi" w:hAnsiTheme="majorHAnsi" w:cs="Times"/>
          <w:sz w:val="22"/>
          <w:szCs w:val="22"/>
        </w:rPr>
        <w:t xml:space="preserve"> Higher intakes of specific flavonoids and flavonoid-rich drinks (</w:t>
      </w:r>
      <w:r w:rsidR="002C527F" w:rsidRPr="00AB59C5">
        <w:rPr>
          <w:rFonts w:asciiTheme="majorHAnsi" w:hAnsiTheme="majorHAnsi" w:cs="Times"/>
          <w:sz w:val="22"/>
          <w:szCs w:val="22"/>
        </w:rPr>
        <w:t>e.g.</w:t>
      </w:r>
      <w:r w:rsidR="00626D89" w:rsidRPr="00AB59C5">
        <w:rPr>
          <w:rFonts w:asciiTheme="majorHAnsi" w:hAnsiTheme="majorHAnsi" w:cs="Times"/>
          <w:sz w:val="22"/>
          <w:szCs w:val="22"/>
        </w:rPr>
        <w:t>, tea)</w:t>
      </w:r>
      <w:r w:rsidR="002C527F" w:rsidRPr="00AB59C5">
        <w:rPr>
          <w:rFonts w:asciiTheme="majorHAnsi" w:hAnsiTheme="majorHAnsi" w:cs="Times"/>
          <w:sz w:val="22"/>
          <w:szCs w:val="22"/>
        </w:rPr>
        <w:t>,</w:t>
      </w:r>
      <w:r w:rsidR="00626D89" w:rsidRPr="00AB59C5">
        <w:rPr>
          <w:rFonts w:asciiTheme="majorHAnsi" w:hAnsiTheme="majorHAnsi" w:cs="Times"/>
          <w:sz w:val="22"/>
          <w:szCs w:val="22"/>
        </w:rPr>
        <w:t xml:space="preserve"> flavonoid-rich foods </w:t>
      </w:r>
      <w:r w:rsidR="002C527F" w:rsidRPr="00AB59C5">
        <w:rPr>
          <w:rFonts w:asciiTheme="majorHAnsi" w:hAnsiTheme="majorHAnsi" w:cs="Times"/>
          <w:sz w:val="22"/>
          <w:szCs w:val="22"/>
        </w:rPr>
        <w:t>(e.g.</w:t>
      </w:r>
      <w:r w:rsidR="00626D89" w:rsidRPr="00AB59C5">
        <w:rPr>
          <w:rFonts w:asciiTheme="majorHAnsi" w:hAnsiTheme="majorHAnsi" w:cs="Times"/>
          <w:sz w:val="22"/>
          <w:szCs w:val="22"/>
        </w:rPr>
        <w:t>, fruit</w:t>
      </w:r>
      <w:r w:rsidRPr="00AB59C5">
        <w:rPr>
          <w:rFonts w:asciiTheme="majorHAnsi" w:hAnsiTheme="majorHAnsi" w:cs="Times"/>
          <w:sz w:val="22"/>
          <w:szCs w:val="22"/>
        </w:rPr>
        <w:t>,</w:t>
      </w:r>
      <w:r w:rsidR="00626D89" w:rsidRPr="00AB59C5">
        <w:rPr>
          <w:rFonts w:asciiTheme="majorHAnsi" w:hAnsiTheme="majorHAnsi" w:cs="Times"/>
          <w:sz w:val="22"/>
          <w:szCs w:val="22"/>
        </w:rPr>
        <w:t xml:space="preserve"> vegetables</w:t>
      </w:r>
      <w:r w:rsidRPr="00AB59C5">
        <w:rPr>
          <w:rFonts w:asciiTheme="majorHAnsi" w:hAnsiTheme="majorHAnsi" w:cs="Times"/>
          <w:sz w:val="22"/>
          <w:szCs w:val="22"/>
        </w:rPr>
        <w:t xml:space="preserve"> and chocolate</w:t>
      </w:r>
      <w:r w:rsidR="00626D89" w:rsidRPr="00AB59C5">
        <w:rPr>
          <w:rFonts w:asciiTheme="majorHAnsi" w:hAnsiTheme="majorHAnsi" w:cs="Times"/>
          <w:sz w:val="22"/>
          <w:szCs w:val="22"/>
        </w:rPr>
        <w:t xml:space="preserve">) have been linked to reduced mortality from specific vascular diseases and cancers. </w:t>
      </w:r>
    </w:p>
    <w:p w14:paraId="74105BF8" w14:textId="77777777" w:rsidR="00626D89" w:rsidRPr="00AB59C5" w:rsidRDefault="00611EC6" w:rsidP="00626D89">
      <w:pPr>
        <w:widowControl w:val="0"/>
        <w:autoSpaceDE w:val="0"/>
        <w:autoSpaceDN w:val="0"/>
        <w:adjustRightInd w:val="0"/>
        <w:spacing w:after="240"/>
        <w:rPr>
          <w:rFonts w:asciiTheme="majorHAnsi" w:hAnsiTheme="majorHAnsi" w:cs="Times"/>
          <w:sz w:val="22"/>
          <w:szCs w:val="22"/>
        </w:rPr>
      </w:pPr>
      <w:r w:rsidRPr="00AB59C5">
        <w:rPr>
          <w:rFonts w:asciiTheme="majorHAnsi" w:hAnsiTheme="majorHAnsi" w:cs="Times"/>
          <w:sz w:val="22"/>
          <w:szCs w:val="22"/>
        </w:rPr>
        <w:t>“</w:t>
      </w:r>
      <w:r w:rsidR="00626D89" w:rsidRPr="00AB59C5">
        <w:rPr>
          <w:rFonts w:asciiTheme="majorHAnsi" w:hAnsiTheme="majorHAnsi" w:cs="Times"/>
          <w:sz w:val="22"/>
          <w:szCs w:val="22"/>
        </w:rPr>
        <w:t xml:space="preserve">The aim of this study was to explore the association between flavonoid intake and risk </w:t>
      </w:r>
      <w:r w:rsidR="002C527F" w:rsidRPr="00AB59C5">
        <w:rPr>
          <w:rFonts w:asciiTheme="majorHAnsi" w:hAnsiTheme="majorHAnsi" w:cs="Times"/>
          <w:sz w:val="22"/>
          <w:szCs w:val="22"/>
        </w:rPr>
        <w:t>of mortality</w:t>
      </w:r>
      <w:r w:rsidR="00626D89" w:rsidRPr="00AB59C5">
        <w:rPr>
          <w:rFonts w:asciiTheme="majorHAnsi" w:hAnsiTheme="majorHAnsi" w:cs="Times"/>
          <w:sz w:val="22"/>
          <w:szCs w:val="22"/>
        </w:rPr>
        <w:t xml:space="preserve"> over </w:t>
      </w:r>
      <w:r w:rsidRPr="00AB59C5">
        <w:rPr>
          <w:rFonts w:asciiTheme="majorHAnsi" w:hAnsiTheme="majorHAnsi" w:cs="Times"/>
          <w:sz w:val="22"/>
          <w:szCs w:val="22"/>
        </w:rPr>
        <w:t>five</w:t>
      </w:r>
      <w:r w:rsidR="00626D89" w:rsidRPr="00AB59C5">
        <w:rPr>
          <w:rFonts w:asciiTheme="majorHAnsi" w:hAnsiTheme="majorHAnsi" w:cs="Times"/>
          <w:sz w:val="22"/>
          <w:szCs w:val="22"/>
        </w:rPr>
        <w:t xml:space="preserve"> years from all causes by using two comprehensive food composition databases to assess flavonoid intake. </w:t>
      </w:r>
    </w:p>
    <w:p w14:paraId="32A52537" w14:textId="77777777" w:rsidR="00626D89" w:rsidRPr="00AB59C5" w:rsidRDefault="00611EC6" w:rsidP="00626D89">
      <w:pPr>
        <w:widowControl w:val="0"/>
        <w:autoSpaceDE w:val="0"/>
        <w:autoSpaceDN w:val="0"/>
        <w:adjustRightInd w:val="0"/>
        <w:spacing w:after="240"/>
        <w:rPr>
          <w:rFonts w:asciiTheme="majorHAnsi" w:hAnsiTheme="majorHAnsi" w:cs="Times"/>
          <w:sz w:val="22"/>
          <w:szCs w:val="22"/>
        </w:rPr>
      </w:pPr>
      <w:r w:rsidRPr="00AB59C5">
        <w:rPr>
          <w:rFonts w:asciiTheme="majorHAnsi" w:hAnsiTheme="majorHAnsi" w:cs="Times"/>
          <w:sz w:val="22"/>
          <w:szCs w:val="22"/>
        </w:rPr>
        <w:t>“</w:t>
      </w:r>
      <w:r w:rsidR="00626D89" w:rsidRPr="00AB59C5">
        <w:rPr>
          <w:rFonts w:asciiTheme="majorHAnsi" w:hAnsiTheme="majorHAnsi" w:cs="Times"/>
          <w:sz w:val="22"/>
          <w:szCs w:val="22"/>
        </w:rPr>
        <w:t>The study population included 1063 randomly selected women aged over 75 years. All-cause mortality as well as death from cancer, and cardiovascular disease were assessed over</w:t>
      </w:r>
      <w:r w:rsidR="002C527F" w:rsidRPr="00AB59C5">
        <w:rPr>
          <w:rFonts w:asciiTheme="majorHAnsi" w:hAnsiTheme="majorHAnsi" w:cs="Times"/>
          <w:sz w:val="22"/>
          <w:szCs w:val="22"/>
        </w:rPr>
        <w:t xml:space="preserve"> a five </w:t>
      </w:r>
      <w:r w:rsidR="00626D89" w:rsidRPr="00AB59C5">
        <w:rPr>
          <w:rFonts w:asciiTheme="majorHAnsi" w:hAnsiTheme="majorHAnsi" w:cs="Times"/>
          <w:sz w:val="22"/>
          <w:szCs w:val="22"/>
        </w:rPr>
        <w:t>year of follow-up.</w:t>
      </w:r>
    </w:p>
    <w:p w14:paraId="04918D05" w14:textId="77777777" w:rsidR="00626D89" w:rsidRPr="00AB59C5" w:rsidRDefault="00611EC6" w:rsidP="00626D89">
      <w:pPr>
        <w:widowControl w:val="0"/>
        <w:autoSpaceDE w:val="0"/>
        <w:autoSpaceDN w:val="0"/>
        <w:adjustRightInd w:val="0"/>
        <w:spacing w:after="240"/>
        <w:rPr>
          <w:rFonts w:asciiTheme="majorHAnsi" w:hAnsiTheme="majorHAnsi" w:cs="Times"/>
          <w:sz w:val="22"/>
          <w:szCs w:val="22"/>
        </w:rPr>
      </w:pPr>
      <w:r w:rsidRPr="00AB59C5">
        <w:rPr>
          <w:rFonts w:asciiTheme="majorHAnsi" w:hAnsiTheme="majorHAnsi" w:cs="Times"/>
          <w:sz w:val="22"/>
          <w:szCs w:val="22"/>
        </w:rPr>
        <w:t>“</w:t>
      </w:r>
      <w:r w:rsidR="00626D89" w:rsidRPr="00AB59C5">
        <w:rPr>
          <w:rFonts w:asciiTheme="majorHAnsi" w:hAnsiTheme="majorHAnsi" w:cs="Times"/>
          <w:sz w:val="22"/>
          <w:szCs w:val="22"/>
        </w:rPr>
        <w:t xml:space="preserve">During the </w:t>
      </w:r>
      <w:r w:rsidRPr="00AB59C5">
        <w:rPr>
          <w:rFonts w:asciiTheme="majorHAnsi" w:hAnsiTheme="majorHAnsi" w:cs="Times"/>
          <w:sz w:val="22"/>
          <w:szCs w:val="22"/>
        </w:rPr>
        <w:t xml:space="preserve">five </w:t>
      </w:r>
      <w:r w:rsidR="00626D89" w:rsidRPr="00AB59C5">
        <w:rPr>
          <w:rFonts w:asciiTheme="majorHAnsi" w:hAnsiTheme="majorHAnsi" w:cs="Times"/>
          <w:sz w:val="22"/>
          <w:szCs w:val="22"/>
        </w:rPr>
        <w:t xml:space="preserve">year follow-up period, 129 (12%) deaths were documented. Participants with high total flavonoid intake were at lower risk of </w:t>
      </w:r>
      <w:r w:rsidRPr="00AB59C5">
        <w:rPr>
          <w:rFonts w:asciiTheme="majorHAnsi" w:hAnsiTheme="majorHAnsi" w:cs="Times"/>
          <w:sz w:val="22"/>
          <w:szCs w:val="22"/>
        </w:rPr>
        <w:t xml:space="preserve">five </w:t>
      </w:r>
      <w:r w:rsidR="00626D89" w:rsidRPr="00AB59C5">
        <w:rPr>
          <w:rFonts w:asciiTheme="majorHAnsi" w:hAnsiTheme="majorHAnsi" w:cs="Times"/>
          <w:sz w:val="22"/>
          <w:szCs w:val="22"/>
        </w:rPr>
        <w:t xml:space="preserve">year all-cause mortality than those with </w:t>
      </w:r>
      <w:r w:rsidR="002C527F" w:rsidRPr="00AB59C5">
        <w:rPr>
          <w:rFonts w:asciiTheme="majorHAnsi" w:hAnsiTheme="majorHAnsi" w:cs="Times"/>
          <w:sz w:val="22"/>
          <w:szCs w:val="22"/>
        </w:rPr>
        <w:t>low total flavonoid consumption. Similar</w:t>
      </w:r>
      <w:r w:rsidR="00626D89" w:rsidRPr="00AB59C5">
        <w:rPr>
          <w:rFonts w:asciiTheme="majorHAnsi" w:hAnsiTheme="majorHAnsi" w:cs="Times"/>
          <w:sz w:val="22"/>
          <w:szCs w:val="22"/>
        </w:rPr>
        <w:t xml:space="preserve"> beneficial relationships were observed for both cardiovascular disease mortality and cancer mortality. </w:t>
      </w:r>
    </w:p>
    <w:p w14:paraId="5EDBAAB8" w14:textId="77777777" w:rsidR="00626D89" w:rsidRPr="00AB59C5" w:rsidRDefault="00611EC6" w:rsidP="00626D89">
      <w:pPr>
        <w:widowControl w:val="0"/>
        <w:autoSpaceDE w:val="0"/>
        <w:autoSpaceDN w:val="0"/>
        <w:adjustRightInd w:val="0"/>
        <w:spacing w:after="240"/>
        <w:rPr>
          <w:rFonts w:asciiTheme="majorHAnsi" w:hAnsiTheme="majorHAnsi" w:cs="Times"/>
          <w:sz w:val="22"/>
          <w:szCs w:val="22"/>
        </w:rPr>
      </w:pPr>
      <w:r w:rsidRPr="00AB59C5">
        <w:rPr>
          <w:rFonts w:asciiTheme="majorHAnsi" w:hAnsiTheme="majorHAnsi" w:cs="Times"/>
          <w:sz w:val="22"/>
          <w:szCs w:val="22"/>
        </w:rPr>
        <w:t>“</w:t>
      </w:r>
      <w:r w:rsidR="00626D89" w:rsidRPr="00AB59C5">
        <w:rPr>
          <w:rFonts w:asciiTheme="majorHAnsi" w:hAnsiTheme="majorHAnsi" w:cs="Times"/>
          <w:sz w:val="22"/>
          <w:szCs w:val="22"/>
        </w:rPr>
        <w:t xml:space="preserve">Of particular note was that a higher flavonoid intake of around 350 mg, equivalent to approximately 2 cups of tea, was associated </w:t>
      </w:r>
      <w:r w:rsidR="002C527F" w:rsidRPr="00AB59C5">
        <w:rPr>
          <w:rFonts w:asciiTheme="majorHAnsi" w:hAnsiTheme="majorHAnsi" w:cs="Times"/>
          <w:sz w:val="22"/>
          <w:szCs w:val="22"/>
        </w:rPr>
        <w:t>with a</w:t>
      </w:r>
      <w:r w:rsidR="00626D89" w:rsidRPr="00AB59C5">
        <w:rPr>
          <w:rFonts w:asciiTheme="majorHAnsi" w:hAnsiTheme="majorHAnsi" w:cs="Times"/>
          <w:sz w:val="22"/>
          <w:szCs w:val="22"/>
        </w:rPr>
        <w:t xml:space="preserve"> 40% lower risk of all-cause mortality. The protective link extended to both major causes of mortality. Thus, high total flavonoid consumers displayed a 40–50% reduced risk of CVD and cancer mortality compared with those with the lowest intake.</w:t>
      </w:r>
      <w:r w:rsidRPr="00AB59C5">
        <w:rPr>
          <w:rFonts w:asciiTheme="majorHAnsi" w:hAnsiTheme="majorHAnsi" w:cs="Times"/>
          <w:sz w:val="22"/>
          <w:szCs w:val="22"/>
        </w:rPr>
        <w:t>”</w:t>
      </w:r>
    </w:p>
    <w:p w14:paraId="2C312DA3" w14:textId="77777777" w:rsidR="00611EC6" w:rsidRPr="00AB59C5" w:rsidRDefault="00611EC6" w:rsidP="00611EC6">
      <w:pPr>
        <w:rPr>
          <w:rFonts w:ascii="Calibri" w:eastAsia="MS Mincho" w:hAnsi="Calibri" w:cs="Times"/>
          <w:sz w:val="22"/>
          <w:szCs w:val="22"/>
        </w:rPr>
      </w:pPr>
      <w:r w:rsidRPr="00AB59C5">
        <w:rPr>
          <w:rFonts w:asciiTheme="majorHAnsi" w:hAnsiTheme="majorHAnsi" w:cs="Times"/>
          <w:sz w:val="22"/>
          <w:szCs w:val="22"/>
        </w:rPr>
        <w:t xml:space="preserve">Dr Hood </w:t>
      </w:r>
      <w:r w:rsidR="00D56107" w:rsidRPr="00AB59C5">
        <w:rPr>
          <w:rFonts w:asciiTheme="majorHAnsi" w:hAnsiTheme="majorHAnsi" w:cs="Times"/>
          <w:sz w:val="22"/>
          <w:szCs w:val="22"/>
        </w:rPr>
        <w:t xml:space="preserve">from TAP </w:t>
      </w:r>
      <w:r w:rsidRPr="00AB59C5">
        <w:rPr>
          <w:rFonts w:asciiTheme="majorHAnsi" w:hAnsiTheme="majorHAnsi" w:cs="Times"/>
          <w:sz w:val="22"/>
          <w:szCs w:val="22"/>
        </w:rPr>
        <w:t>adds: “</w:t>
      </w:r>
      <w:r w:rsidR="00626D89" w:rsidRPr="00AB59C5">
        <w:rPr>
          <w:rFonts w:asciiTheme="majorHAnsi" w:hAnsiTheme="majorHAnsi" w:cs="Times"/>
          <w:sz w:val="22"/>
          <w:szCs w:val="22"/>
        </w:rPr>
        <w:t xml:space="preserve">These findings are good news for British tea drinkers many of whom are the same age as the women in this study. Flavonoid intake equivalent to just </w:t>
      </w:r>
      <w:r w:rsidRPr="00AB59C5">
        <w:rPr>
          <w:rFonts w:asciiTheme="majorHAnsi" w:hAnsiTheme="majorHAnsi" w:cs="Times"/>
          <w:sz w:val="22"/>
          <w:szCs w:val="22"/>
        </w:rPr>
        <w:t>two</w:t>
      </w:r>
      <w:r w:rsidR="00626D89" w:rsidRPr="00AB59C5">
        <w:rPr>
          <w:rFonts w:asciiTheme="majorHAnsi" w:hAnsiTheme="majorHAnsi" w:cs="Times"/>
          <w:sz w:val="22"/>
          <w:szCs w:val="22"/>
        </w:rPr>
        <w:t xml:space="preserve"> cups of tea daily </w:t>
      </w:r>
      <w:r w:rsidRPr="00AB59C5">
        <w:rPr>
          <w:rFonts w:asciiTheme="majorHAnsi" w:hAnsiTheme="majorHAnsi" w:cs="Times"/>
          <w:sz w:val="22"/>
          <w:szCs w:val="22"/>
        </w:rPr>
        <w:t>could reduce the</w:t>
      </w:r>
      <w:r w:rsidR="00626D89" w:rsidRPr="00AB59C5">
        <w:rPr>
          <w:rFonts w:asciiTheme="majorHAnsi" w:hAnsiTheme="majorHAnsi" w:cs="Times"/>
          <w:sz w:val="22"/>
          <w:szCs w:val="22"/>
        </w:rPr>
        <w:t xml:space="preserve"> risk of mortality by 40% and this benefit extended to both cardiovascular death and death from cancer.</w:t>
      </w:r>
      <w:r w:rsidRPr="00AB59C5">
        <w:rPr>
          <w:rFonts w:asciiTheme="majorHAnsi" w:hAnsiTheme="majorHAnsi" w:cs="Times"/>
          <w:sz w:val="22"/>
          <w:szCs w:val="22"/>
        </w:rPr>
        <w:t xml:space="preserve"> </w:t>
      </w:r>
      <w:r w:rsidR="002C527F" w:rsidRPr="00AB59C5">
        <w:rPr>
          <w:rFonts w:asciiTheme="majorHAnsi" w:hAnsiTheme="majorHAnsi" w:cs="Times"/>
          <w:sz w:val="22"/>
          <w:szCs w:val="22"/>
        </w:rPr>
        <w:t xml:space="preserve">As a result, this latest data </w:t>
      </w:r>
      <w:r w:rsidRPr="00611EC6">
        <w:rPr>
          <w:rFonts w:ascii="Calibri" w:eastAsia="MS Mincho" w:hAnsi="Calibri" w:cs="Times"/>
          <w:sz w:val="22"/>
          <w:szCs w:val="22"/>
        </w:rPr>
        <w:t>together with many other published studies continue to suggest that Britain’s’ favorite beverage is good for our health</w:t>
      </w:r>
      <w:r w:rsidRPr="00AB59C5">
        <w:rPr>
          <w:rFonts w:ascii="Calibri" w:eastAsia="MS Mincho" w:hAnsi="Calibri" w:cs="Times"/>
          <w:sz w:val="22"/>
          <w:szCs w:val="22"/>
        </w:rPr>
        <w:t xml:space="preserve"> and wellbeing</w:t>
      </w:r>
      <w:r w:rsidR="002C527F" w:rsidRPr="00AB59C5">
        <w:rPr>
          <w:rFonts w:ascii="Calibri" w:eastAsia="MS Mincho" w:hAnsi="Calibri" w:cs="Times"/>
          <w:sz w:val="22"/>
          <w:szCs w:val="22"/>
        </w:rPr>
        <w:t>, as well as keeping our hydration levels well topped up</w:t>
      </w:r>
      <w:r w:rsidRPr="00611EC6">
        <w:rPr>
          <w:rFonts w:ascii="Calibri" w:eastAsia="MS Mincho" w:hAnsi="Calibri" w:cs="Times"/>
          <w:sz w:val="22"/>
          <w:szCs w:val="22"/>
        </w:rPr>
        <w:t>.”</w:t>
      </w:r>
    </w:p>
    <w:p w14:paraId="75B0830E" w14:textId="77777777" w:rsidR="00D56107" w:rsidRPr="00AB59C5" w:rsidRDefault="00D56107" w:rsidP="00611EC6">
      <w:pPr>
        <w:rPr>
          <w:rFonts w:ascii="Calibri" w:eastAsia="MS Mincho" w:hAnsi="Calibri" w:cs="Times"/>
          <w:sz w:val="22"/>
          <w:szCs w:val="22"/>
        </w:rPr>
      </w:pPr>
    </w:p>
    <w:p w14:paraId="0FA09CCF" w14:textId="77777777" w:rsidR="00D56107" w:rsidRPr="00D56107" w:rsidRDefault="00477EE4" w:rsidP="00D56107">
      <w:pPr>
        <w:spacing w:before="90" w:after="90" w:line="270" w:lineRule="atLeast"/>
        <w:jc w:val="center"/>
        <w:outlineLvl w:val="0"/>
        <w:rPr>
          <w:rFonts w:asciiTheme="majorHAnsi" w:eastAsia="Times New Roman" w:hAnsiTheme="majorHAnsi" w:cs="Times New Roman"/>
          <w:b/>
          <w:bCs/>
          <w:i/>
          <w:color w:val="000000"/>
          <w:kern w:val="36"/>
          <w:sz w:val="22"/>
          <w:szCs w:val="22"/>
          <w:lang w:val="en-GB"/>
        </w:rPr>
      </w:pPr>
      <w:r w:rsidRPr="00AB59C5">
        <w:rPr>
          <w:rFonts w:asciiTheme="majorHAnsi" w:eastAsia="Times New Roman" w:hAnsiTheme="majorHAnsi" w:cs="Times New Roman"/>
          <w:b/>
          <w:bCs/>
          <w:i/>
          <w:color w:val="000000"/>
          <w:kern w:val="36"/>
          <w:sz w:val="22"/>
          <w:szCs w:val="22"/>
          <w:lang w:val="en-GB"/>
        </w:rPr>
        <w:lastRenderedPageBreak/>
        <w:t>TEA CONSUMPTION ASSOCIATED WITH REDUCED RISK OF LUNG CANCER</w:t>
      </w:r>
    </w:p>
    <w:p w14:paraId="1FAC7A42" w14:textId="77777777" w:rsidR="00D56107" w:rsidRPr="00D56107" w:rsidRDefault="00D56107" w:rsidP="00D56107">
      <w:pPr>
        <w:spacing w:before="100" w:beforeAutospacing="1" w:after="100" w:afterAutospacing="1"/>
        <w:rPr>
          <w:rFonts w:asciiTheme="majorHAnsi" w:eastAsia="Times New Roman" w:hAnsiTheme="majorHAnsi" w:cs="Times New Roman"/>
          <w:sz w:val="22"/>
          <w:szCs w:val="22"/>
          <w:lang w:val="en-GB"/>
        </w:rPr>
      </w:pPr>
      <w:r w:rsidRPr="00D56107">
        <w:rPr>
          <w:rFonts w:asciiTheme="majorHAnsi" w:eastAsia="Times New Roman" w:hAnsiTheme="majorHAnsi" w:cs="Times New Roman"/>
          <w:sz w:val="22"/>
          <w:szCs w:val="22"/>
          <w:lang w:val="en-GB"/>
        </w:rPr>
        <w:t xml:space="preserve">Both black and green tea consumption are associated with reduced lung cancer risk in a large recently published meta-analysis. </w:t>
      </w:r>
      <w:r w:rsidRPr="00AB59C5">
        <w:rPr>
          <w:rFonts w:asciiTheme="majorHAnsi" w:eastAsia="Times New Roman" w:hAnsiTheme="majorHAnsi" w:cs="Times New Roman"/>
          <w:sz w:val="22"/>
          <w:szCs w:val="22"/>
          <w:vertAlign w:val="superscript"/>
          <w:lang w:val="en-GB"/>
        </w:rPr>
        <w:footnoteReference w:id="2"/>
      </w:r>
    </w:p>
    <w:p w14:paraId="36DAED46" w14:textId="299DC415" w:rsidR="00D56107" w:rsidRPr="00D56107" w:rsidRDefault="00477EE4" w:rsidP="00D56107">
      <w:pPr>
        <w:spacing w:before="100" w:beforeAutospacing="1" w:after="100" w:afterAutospacing="1"/>
        <w:rPr>
          <w:rFonts w:asciiTheme="majorHAnsi" w:hAnsiTheme="majorHAnsi" w:cs="Arial"/>
          <w:color w:val="000000"/>
          <w:sz w:val="22"/>
          <w:szCs w:val="22"/>
          <w:lang w:val="en-GB"/>
        </w:rPr>
      </w:pPr>
      <w:r w:rsidRPr="00AB59C5">
        <w:rPr>
          <w:rFonts w:asciiTheme="majorHAnsi" w:hAnsiTheme="majorHAnsi" w:cs="Arial"/>
          <w:color w:val="000000"/>
          <w:sz w:val="22"/>
          <w:szCs w:val="22"/>
          <w:lang w:val="en-GB"/>
        </w:rPr>
        <w:t>Commenting on the study, Dr Tim Bond from the Tea Advisory Panel notes: “</w:t>
      </w:r>
      <w:r w:rsidR="00D56107" w:rsidRPr="00D56107">
        <w:rPr>
          <w:rFonts w:asciiTheme="majorHAnsi" w:hAnsiTheme="majorHAnsi" w:cs="Arial"/>
          <w:color w:val="000000"/>
          <w:sz w:val="22"/>
          <w:szCs w:val="22"/>
          <w:lang w:val="en-GB"/>
        </w:rPr>
        <w:t>This was a robust, well-executed meta-analysis using carefully chosen statistics.</w:t>
      </w:r>
      <w:r w:rsidR="00D56107" w:rsidRPr="00D56107">
        <w:rPr>
          <w:rFonts w:asciiTheme="majorHAnsi" w:eastAsia="Times New Roman" w:hAnsiTheme="majorHAnsi" w:cs="Times New Roman"/>
          <w:sz w:val="22"/>
          <w:szCs w:val="22"/>
          <w:lang w:val="en-GB"/>
        </w:rPr>
        <w:t xml:space="preserve"> The meta-analysis included 38 studies with 59,041 cases of lung cancer and 396,664 controls. </w:t>
      </w:r>
      <w:r w:rsidR="00D56107" w:rsidRPr="00D56107">
        <w:rPr>
          <w:rFonts w:asciiTheme="majorHAnsi" w:hAnsiTheme="majorHAnsi" w:cs="Arial"/>
          <w:color w:val="000000"/>
          <w:sz w:val="22"/>
          <w:szCs w:val="22"/>
          <w:lang w:val="en-GB"/>
        </w:rPr>
        <w:t xml:space="preserve"> Total black and green tea consumption reduced the risk of lung cancer by 22 per cent. Subgroup analyses showed that tea consumption was associated with a 24 per cent reduced risk for lung cancer in women.  Both green tea and black tea were separately associated with reduced risk. Green tea reduced lung cancer ri</w:t>
      </w:r>
      <w:r w:rsidR="00F236BD">
        <w:rPr>
          <w:rFonts w:asciiTheme="majorHAnsi" w:hAnsiTheme="majorHAnsi" w:cs="Arial"/>
          <w:color w:val="000000"/>
          <w:sz w:val="22"/>
          <w:szCs w:val="22"/>
          <w:lang w:val="en-GB"/>
        </w:rPr>
        <w:t>s</w:t>
      </w:r>
      <w:r w:rsidR="00D56107" w:rsidRPr="00D56107">
        <w:rPr>
          <w:rFonts w:asciiTheme="majorHAnsi" w:hAnsiTheme="majorHAnsi" w:cs="Arial"/>
          <w:color w:val="000000"/>
          <w:sz w:val="22"/>
          <w:szCs w:val="22"/>
          <w:lang w:val="en-GB"/>
        </w:rPr>
        <w:t xml:space="preserve">k by 25 per cent and black tea by 18 per cent. </w:t>
      </w:r>
      <w:r w:rsidR="00D56107" w:rsidRPr="00AB59C5">
        <w:rPr>
          <w:rFonts w:asciiTheme="majorHAnsi" w:hAnsiTheme="majorHAnsi" w:cs="Arial"/>
          <w:color w:val="000000"/>
          <w:sz w:val="22"/>
          <w:szCs w:val="22"/>
          <w:vertAlign w:val="superscript"/>
          <w:lang w:val="en-GB"/>
        </w:rPr>
        <w:footnoteReference w:id="3"/>
      </w:r>
    </w:p>
    <w:p w14:paraId="07CD7238" w14:textId="77777777" w:rsidR="00D56107" w:rsidRPr="00D56107" w:rsidRDefault="00477EE4" w:rsidP="00D56107">
      <w:pPr>
        <w:spacing w:before="100" w:beforeAutospacing="1" w:after="100" w:afterAutospacing="1"/>
        <w:rPr>
          <w:rFonts w:asciiTheme="majorHAnsi" w:hAnsiTheme="majorHAnsi" w:cs="Arial"/>
          <w:color w:val="000000"/>
          <w:sz w:val="22"/>
          <w:szCs w:val="22"/>
          <w:lang w:val="en-GB"/>
        </w:rPr>
      </w:pPr>
      <w:r w:rsidRPr="00AB59C5">
        <w:rPr>
          <w:rFonts w:asciiTheme="majorHAnsi" w:hAnsiTheme="majorHAnsi" w:cs="Arial"/>
          <w:color w:val="000000"/>
          <w:sz w:val="22"/>
          <w:szCs w:val="22"/>
          <w:lang w:val="en-GB"/>
        </w:rPr>
        <w:t>“</w:t>
      </w:r>
      <w:r w:rsidR="00D56107" w:rsidRPr="00D56107">
        <w:rPr>
          <w:rFonts w:asciiTheme="majorHAnsi" w:hAnsiTheme="majorHAnsi" w:cs="Arial"/>
          <w:color w:val="000000"/>
          <w:sz w:val="22"/>
          <w:szCs w:val="22"/>
          <w:lang w:val="en-GB"/>
        </w:rPr>
        <w:t>This research is not the first to find a beneficial link between tea and the risk of cancer overall with other work showing a link between tea and the polyphenols it contains and the prevention of cancer. However, this new meta-analysis is the first to demonstrate a benefit of tea overall and black and green tea separately in reducing the risk of lung cancer.</w:t>
      </w:r>
    </w:p>
    <w:p w14:paraId="6FA39560" w14:textId="77777777" w:rsidR="00D56107" w:rsidRPr="00D56107" w:rsidRDefault="00477EE4" w:rsidP="00D56107">
      <w:pPr>
        <w:spacing w:before="100" w:beforeAutospacing="1" w:after="100" w:afterAutospacing="1"/>
        <w:rPr>
          <w:rFonts w:asciiTheme="majorHAnsi" w:hAnsiTheme="majorHAnsi" w:cs="Arial"/>
          <w:color w:val="000000"/>
          <w:sz w:val="22"/>
          <w:szCs w:val="22"/>
          <w:lang w:val="en-GB"/>
        </w:rPr>
      </w:pPr>
      <w:r w:rsidRPr="00AB59C5">
        <w:rPr>
          <w:rFonts w:asciiTheme="majorHAnsi" w:hAnsiTheme="majorHAnsi" w:cs="Arial"/>
          <w:color w:val="000000"/>
          <w:sz w:val="22"/>
          <w:szCs w:val="22"/>
          <w:lang w:val="en-GB"/>
        </w:rPr>
        <w:t>“</w:t>
      </w:r>
      <w:r w:rsidR="00D56107" w:rsidRPr="00D56107">
        <w:rPr>
          <w:rFonts w:asciiTheme="majorHAnsi" w:hAnsiTheme="majorHAnsi" w:cs="Arial"/>
          <w:color w:val="000000"/>
          <w:sz w:val="22"/>
          <w:szCs w:val="22"/>
          <w:lang w:val="en-GB"/>
        </w:rPr>
        <w:t>Tea is the second most commonly consumed beverage in the world after water and the findings from this study are good news for tea drinkers everywhere. These findings indicate that it doesn’t matter whether you prefer black tea or green tea or a mixture of both. Tea consumption in this study is linked with a reduced risk of lung cancer.</w:t>
      </w:r>
      <w:r w:rsidRPr="00AB59C5">
        <w:rPr>
          <w:rFonts w:asciiTheme="majorHAnsi" w:hAnsiTheme="majorHAnsi" w:cs="Arial"/>
          <w:color w:val="000000"/>
          <w:sz w:val="22"/>
          <w:szCs w:val="22"/>
          <w:lang w:val="en-GB"/>
        </w:rPr>
        <w:t>”</w:t>
      </w:r>
    </w:p>
    <w:p w14:paraId="71A66534" w14:textId="77777777" w:rsidR="00D56107" w:rsidRPr="00611EC6" w:rsidRDefault="00D56107" w:rsidP="00611EC6">
      <w:pPr>
        <w:rPr>
          <w:rFonts w:ascii="Calibri" w:eastAsia="MS Mincho" w:hAnsi="Calibri" w:cs="Times"/>
          <w:sz w:val="22"/>
          <w:szCs w:val="22"/>
        </w:rPr>
      </w:pPr>
    </w:p>
    <w:p w14:paraId="17857A4C" w14:textId="77777777" w:rsidR="00611EC6" w:rsidRPr="00611EC6" w:rsidRDefault="00611EC6" w:rsidP="00611EC6">
      <w:pPr>
        <w:widowControl w:val="0"/>
        <w:autoSpaceDE w:val="0"/>
        <w:autoSpaceDN w:val="0"/>
        <w:adjustRightInd w:val="0"/>
        <w:spacing w:after="240"/>
        <w:ind w:left="1440" w:firstLine="720"/>
        <w:rPr>
          <w:rFonts w:ascii="Calibri" w:eastAsia="MS Mincho" w:hAnsi="Calibri" w:cs="Arial"/>
          <w:color w:val="000000"/>
          <w:sz w:val="22"/>
          <w:szCs w:val="22"/>
          <w:lang w:val="en-GB"/>
        </w:rPr>
      </w:pPr>
      <w:r w:rsidRPr="00611EC6">
        <w:rPr>
          <w:rFonts w:ascii="Calibri" w:eastAsia="MS Mincho" w:hAnsi="Calibri" w:cs="Arial"/>
          <w:color w:val="000000"/>
          <w:sz w:val="22"/>
          <w:szCs w:val="22"/>
          <w:lang w:val="en-GB"/>
        </w:rPr>
        <w:t>-ENDS-</w:t>
      </w:r>
    </w:p>
    <w:p w14:paraId="76B17991" w14:textId="77777777" w:rsidR="00611EC6" w:rsidRPr="00611EC6" w:rsidRDefault="00611EC6" w:rsidP="002C527F">
      <w:pPr>
        <w:pBdr>
          <w:top w:val="single" w:sz="4" w:space="9" w:color="auto"/>
          <w:left w:val="single" w:sz="4" w:space="4" w:color="auto"/>
          <w:bottom w:val="single" w:sz="4" w:space="1" w:color="auto"/>
          <w:right w:val="single" w:sz="4" w:space="4" w:color="auto"/>
        </w:pBdr>
        <w:rPr>
          <w:rFonts w:ascii="Calibri" w:eastAsia="Times New Roman" w:hAnsi="Calibri" w:cs="Arial"/>
          <w:sz w:val="22"/>
          <w:szCs w:val="22"/>
          <w:lang w:val="en-GB" w:eastAsia="en-GB"/>
        </w:rPr>
      </w:pPr>
      <w:r w:rsidRPr="00611EC6">
        <w:rPr>
          <w:rFonts w:ascii="Calibri" w:eastAsia="Times New Roman" w:hAnsi="Calibri" w:cs="Arial"/>
          <w:b/>
          <w:sz w:val="22"/>
          <w:szCs w:val="22"/>
          <w:lang w:val="en-GB" w:eastAsia="en-GB"/>
        </w:rPr>
        <w:t xml:space="preserve">The Tea Advisory Panel: </w:t>
      </w:r>
      <w:r w:rsidRPr="00611EC6">
        <w:rPr>
          <w:rFonts w:ascii="Calibri" w:eastAsia="Times New Roman" w:hAnsi="Calibri" w:cs="Arial"/>
          <w:color w:val="000000"/>
          <w:sz w:val="22"/>
          <w:szCs w:val="22"/>
          <w:lang w:val="en-GB" w:eastAsia="en-GB"/>
        </w:rPr>
        <w:t xml:space="preserve">The Tea Advisory Panel is supported by an unrestricted educational grant from the </w:t>
      </w:r>
      <w:r w:rsidRPr="00611EC6">
        <w:rPr>
          <w:rFonts w:ascii="Calibri" w:eastAsia="Times New Roman" w:hAnsi="Calibri" w:cs="Arial"/>
          <w:b/>
          <w:color w:val="000000"/>
          <w:sz w:val="22"/>
          <w:szCs w:val="22"/>
          <w:lang w:val="en-GB" w:eastAsia="en-GB"/>
        </w:rPr>
        <w:t>UK TEA &amp; INFUSIONS ASSOCIATION</w:t>
      </w:r>
      <w:r w:rsidRPr="00611EC6">
        <w:rPr>
          <w:rFonts w:ascii="Calibri" w:eastAsia="Times New Roman" w:hAnsi="Calibri" w:cs="Arial"/>
          <w:color w:val="000000"/>
          <w:sz w:val="22"/>
          <w:szCs w:val="22"/>
          <w:lang w:val="en-GB" w:eastAsia="en-GB"/>
        </w:rPr>
        <w:t xml:space="preserve">, the trade association for the UK tea industry. The Panel has been created to provide media with impartial information regarding the health benefits of tea. Panel members include nutritionists; dieticians and doctors.  </w:t>
      </w:r>
    </w:p>
    <w:p w14:paraId="1191A637" w14:textId="77777777" w:rsidR="00611EC6" w:rsidRPr="00611EC6" w:rsidRDefault="00611EC6" w:rsidP="00611EC6">
      <w:pPr>
        <w:widowControl w:val="0"/>
        <w:autoSpaceDE w:val="0"/>
        <w:autoSpaceDN w:val="0"/>
        <w:adjustRightInd w:val="0"/>
        <w:spacing w:after="240"/>
        <w:jc w:val="center"/>
        <w:rPr>
          <w:rFonts w:ascii="Calibri" w:eastAsia="MS Mincho" w:hAnsi="Calibri" w:cs="Times"/>
          <w:sz w:val="22"/>
          <w:szCs w:val="22"/>
        </w:rPr>
      </w:pPr>
    </w:p>
    <w:p w14:paraId="1BA24D3F" w14:textId="77777777" w:rsidR="002C527F" w:rsidRPr="00611EC6" w:rsidRDefault="002C527F" w:rsidP="002C527F">
      <w:pPr>
        <w:rPr>
          <w:rFonts w:ascii="Calibri" w:eastAsia="Times New Roman" w:hAnsi="Calibri" w:cs="Arial"/>
          <w:sz w:val="22"/>
          <w:szCs w:val="20"/>
          <w:lang w:val="en-GB" w:eastAsia="en-GB"/>
        </w:rPr>
      </w:pPr>
      <w:r w:rsidRPr="00611EC6">
        <w:rPr>
          <w:rFonts w:ascii="Calibri" w:eastAsia="Times New Roman" w:hAnsi="Calibri" w:cs="Arial"/>
          <w:color w:val="000000"/>
          <w:sz w:val="22"/>
          <w:szCs w:val="20"/>
          <w:lang w:val="en-GB" w:eastAsia="en-GB"/>
        </w:rPr>
        <w:t>For further information please</w:t>
      </w:r>
      <w:r w:rsidRPr="00611EC6">
        <w:rPr>
          <w:rFonts w:ascii="Calibri" w:eastAsia="Times New Roman" w:hAnsi="Calibri" w:cs="Arial"/>
          <w:sz w:val="22"/>
          <w:szCs w:val="20"/>
          <w:lang w:val="en-GB" w:eastAsia="en-GB"/>
        </w:rPr>
        <w:t xml:space="preserve"> contact: </w:t>
      </w:r>
    </w:p>
    <w:p w14:paraId="3C7A2561" w14:textId="77777777" w:rsidR="002C527F" w:rsidRPr="002C527F" w:rsidRDefault="002C527F" w:rsidP="002C527F">
      <w:pPr>
        <w:pStyle w:val="ListParagraph"/>
        <w:numPr>
          <w:ilvl w:val="0"/>
          <w:numId w:val="1"/>
        </w:numPr>
        <w:rPr>
          <w:rFonts w:ascii="Calibri" w:eastAsia="Times New Roman" w:hAnsi="Calibri" w:cs="Arial"/>
          <w:sz w:val="22"/>
          <w:szCs w:val="20"/>
          <w:lang w:val="en-GB" w:eastAsia="en-GB"/>
        </w:rPr>
      </w:pPr>
      <w:r w:rsidRPr="002C527F">
        <w:rPr>
          <w:rFonts w:ascii="Calibri" w:eastAsia="Times New Roman" w:hAnsi="Calibri" w:cs="Arial"/>
          <w:b/>
          <w:sz w:val="22"/>
          <w:szCs w:val="20"/>
          <w:lang w:val="en-GB" w:eastAsia="en-GB"/>
        </w:rPr>
        <w:t>Nicky Smith:</w:t>
      </w:r>
      <w:r w:rsidRPr="002C527F">
        <w:rPr>
          <w:rFonts w:ascii="Calibri" w:eastAsia="Times New Roman" w:hAnsi="Calibri" w:cs="Arial"/>
          <w:sz w:val="22"/>
          <w:szCs w:val="20"/>
          <w:lang w:val="en-GB" w:eastAsia="en-GB"/>
        </w:rPr>
        <w:t xml:space="preserve"> nicky.smith@nexuspr.com/ 0207 052 8850</w:t>
      </w:r>
    </w:p>
    <w:p w14:paraId="34F8DC9F" w14:textId="77777777" w:rsidR="002C527F" w:rsidRPr="002C527F" w:rsidRDefault="002C527F" w:rsidP="002C527F">
      <w:pPr>
        <w:pStyle w:val="ListParagraph"/>
        <w:numPr>
          <w:ilvl w:val="0"/>
          <w:numId w:val="1"/>
        </w:numPr>
        <w:rPr>
          <w:rFonts w:ascii="Calibri" w:eastAsia="Times New Roman" w:hAnsi="Calibri" w:cs="Arial"/>
          <w:sz w:val="22"/>
          <w:szCs w:val="20"/>
          <w:lang w:val="en-GB" w:eastAsia="en-GB"/>
        </w:rPr>
      </w:pPr>
      <w:r w:rsidRPr="002C527F">
        <w:rPr>
          <w:rFonts w:ascii="Calibri" w:eastAsia="Times New Roman" w:hAnsi="Calibri" w:cs="Arial"/>
          <w:b/>
          <w:sz w:val="22"/>
          <w:szCs w:val="20"/>
          <w:lang w:val="en-GB" w:eastAsia="en-GB"/>
        </w:rPr>
        <w:t xml:space="preserve">Isla Haslam: </w:t>
      </w:r>
      <w:r w:rsidRPr="002C527F">
        <w:rPr>
          <w:rFonts w:ascii="Calibri" w:eastAsia="Times New Roman" w:hAnsi="Calibri" w:cs="Arial"/>
          <w:sz w:val="22"/>
          <w:szCs w:val="20"/>
          <w:lang w:val="en-GB" w:eastAsia="en-GB"/>
        </w:rPr>
        <w:t>isla.haslam@nexuspr.com / 0207528880,</w:t>
      </w:r>
    </w:p>
    <w:p w14:paraId="4A348632" w14:textId="77777777" w:rsidR="002C527F" w:rsidRPr="002C527F" w:rsidRDefault="002C527F" w:rsidP="002C527F">
      <w:pPr>
        <w:pStyle w:val="ListParagraph"/>
        <w:numPr>
          <w:ilvl w:val="0"/>
          <w:numId w:val="1"/>
        </w:numPr>
        <w:rPr>
          <w:rFonts w:ascii="Calibri" w:eastAsia="Times New Roman" w:hAnsi="Calibri" w:cs="Arial"/>
          <w:sz w:val="22"/>
          <w:szCs w:val="20"/>
          <w:lang w:val="en-GB" w:eastAsia="en-GB"/>
        </w:rPr>
      </w:pPr>
      <w:r w:rsidRPr="002C527F">
        <w:rPr>
          <w:rFonts w:ascii="Calibri" w:eastAsia="Times New Roman" w:hAnsi="Calibri" w:cs="Arial"/>
          <w:b/>
          <w:sz w:val="22"/>
          <w:szCs w:val="20"/>
          <w:lang w:val="en-GB" w:eastAsia="en-GB"/>
        </w:rPr>
        <w:t>Chanelle Kearey</w:t>
      </w:r>
      <w:r w:rsidRPr="002C527F">
        <w:rPr>
          <w:rFonts w:ascii="Calibri" w:eastAsia="Times New Roman" w:hAnsi="Calibri" w:cs="Arial"/>
          <w:sz w:val="22"/>
          <w:szCs w:val="20"/>
          <w:lang w:val="en-GB" w:eastAsia="en-GB"/>
        </w:rPr>
        <w:t xml:space="preserve"> chanelle.kearey@nexuspr.com / 02070528854 or visit </w:t>
      </w:r>
      <w:hyperlink r:id="rId8" w:history="1">
        <w:r w:rsidRPr="002C527F">
          <w:rPr>
            <w:rFonts w:ascii="Calibri" w:eastAsia="Times New Roman" w:hAnsi="Calibri" w:cs="Arial"/>
            <w:color w:val="0000FF"/>
            <w:sz w:val="22"/>
            <w:szCs w:val="20"/>
            <w:u w:val="single"/>
            <w:lang w:val="en-GB" w:eastAsia="en-GB"/>
          </w:rPr>
          <w:t>http://www.teaadvisorypanel.com/</w:t>
        </w:r>
      </w:hyperlink>
      <w:r w:rsidRPr="002C527F">
        <w:rPr>
          <w:rFonts w:ascii="Calibri" w:eastAsia="Times New Roman" w:hAnsi="Calibri" w:cs="Arial"/>
          <w:sz w:val="22"/>
          <w:szCs w:val="20"/>
          <w:lang w:val="en-GB" w:eastAsia="en-GB"/>
        </w:rPr>
        <w:t xml:space="preserve"> #tap</w:t>
      </w:r>
    </w:p>
    <w:p w14:paraId="5C0CFC1C" w14:textId="77777777" w:rsidR="00611EC6" w:rsidRPr="00611EC6" w:rsidRDefault="00611EC6" w:rsidP="00611EC6">
      <w:pPr>
        <w:rPr>
          <w:rFonts w:ascii="Calibri" w:eastAsia="MS Mincho" w:hAnsi="Calibri" w:cs="Times New Roman"/>
          <w:sz w:val="22"/>
          <w:szCs w:val="22"/>
        </w:rPr>
      </w:pPr>
    </w:p>
    <w:p w14:paraId="7930B71A" w14:textId="77777777" w:rsidR="00611EC6" w:rsidRPr="00611EC6" w:rsidRDefault="00611EC6" w:rsidP="00611EC6">
      <w:pPr>
        <w:rPr>
          <w:rFonts w:ascii="Calibri" w:eastAsia="MS Mincho" w:hAnsi="Calibri" w:cs="Times New Roman"/>
          <w:sz w:val="22"/>
          <w:szCs w:val="22"/>
        </w:rPr>
      </w:pPr>
    </w:p>
    <w:p w14:paraId="5CED6717" w14:textId="77777777" w:rsidR="00611EC6" w:rsidRPr="00611EC6" w:rsidRDefault="00611EC6" w:rsidP="00611EC6">
      <w:pPr>
        <w:rPr>
          <w:rFonts w:ascii="Calibri" w:eastAsia="MS Mincho" w:hAnsi="Calibri" w:cs="Times New Roman"/>
          <w:sz w:val="22"/>
          <w:szCs w:val="22"/>
        </w:rPr>
      </w:pPr>
    </w:p>
    <w:p w14:paraId="1A98C6EF" w14:textId="77777777" w:rsidR="00611EC6" w:rsidRPr="00611EC6" w:rsidRDefault="00611EC6" w:rsidP="00611EC6">
      <w:pPr>
        <w:rPr>
          <w:rFonts w:ascii="Calibri" w:eastAsia="MS Mincho" w:hAnsi="Calibri" w:cs="Times New Roman"/>
          <w:sz w:val="22"/>
          <w:szCs w:val="22"/>
        </w:rPr>
      </w:pPr>
    </w:p>
    <w:p w14:paraId="72146FAD" w14:textId="77777777" w:rsidR="00611EC6" w:rsidRPr="00611EC6" w:rsidRDefault="00611EC6" w:rsidP="00611EC6">
      <w:pPr>
        <w:rPr>
          <w:rFonts w:ascii="Calibri" w:eastAsia="Times New Roman" w:hAnsi="Calibri" w:cs="Arial"/>
          <w:color w:val="030303"/>
          <w:sz w:val="22"/>
          <w:szCs w:val="22"/>
          <w:shd w:val="clear" w:color="auto" w:fill="FFFFFE"/>
          <w:lang w:val="en-GB"/>
        </w:rPr>
      </w:pPr>
    </w:p>
    <w:p w14:paraId="150D2A2D" w14:textId="77777777" w:rsidR="00611EC6" w:rsidRDefault="00611EC6"/>
    <w:sectPr w:rsidR="00611EC6" w:rsidSect="002C527F">
      <w:pgSz w:w="12240" w:h="15840"/>
      <w:pgMar w:top="720" w:right="720" w:bottom="720" w:left="720" w:header="720" w:footer="720" w:gutter="0"/>
      <w:cols w:num="2"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836E1" w14:textId="77777777" w:rsidR="00C529A8" w:rsidRDefault="00C529A8" w:rsidP="00626D89">
      <w:r>
        <w:separator/>
      </w:r>
    </w:p>
  </w:endnote>
  <w:endnote w:type="continuationSeparator" w:id="0">
    <w:p w14:paraId="033738C7" w14:textId="77777777" w:rsidR="00C529A8" w:rsidRDefault="00C529A8" w:rsidP="0062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4E05E" w14:textId="77777777" w:rsidR="00C529A8" w:rsidRDefault="00C529A8" w:rsidP="00626D89">
      <w:r>
        <w:separator/>
      </w:r>
    </w:p>
  </w:footnote>
  <w:footnote w:type="continuationSeparator" w:id="0">
    <w:p w14:paraId="2056D96E" w14:textId="77777777" w:rsidR="00C529A8" w:rsidRDefault="00C529A8" w:rsidP="00626D89">
      <w:r>
        <w:continuationSeparator/>
      </w:r>
    </w:p>
  </w:footnote>
  <w:footnote w:id="1">
    <w:p w14:paraId="106668B8" w14:textId="77777777" w:rsidR="00626D89" w:rsidRPr="00AB59C5" w:rsidRDefault="00626D89" w:rsidP="007E0946">
      <w:pPr>
        <w:widowControl w:val="0"/>
        <w:autoSpaceDE w:val="0"/>
        <w:autoSpaceDN w:val="0"/>
        <w:adjustRightInd w:val="0"/>
        <w:rPr>
          <w:rFonts w:asciiTheme="majorHAnsi" w:hAnsiTheme="majorHAnsi"/>
          <w:sz w:val="20"/>
          <w:szCs w:val="20"/>
        </w:rPr>
      </w:pPr>
      <w:r w:rsidRPr="007E0946">
        <w:rPr>
          <w:rStyle w:val="FootnoteReference"/>
          <w:rFonts w:asciiTheme="majorHAnsi" w:hAnsiTheme="majorHAnsi"/>
          <w:sz w:val="20"/>
          <w:szCs w:val="20"/>
        </w:rPr>
        <w:footnoteRef/>
      </w:r>
      <w:r w:rsidRPr="007E0946">
        <w:rPr>
          <w:rFonts w:asciiTheme="majorHAnsi" w:hAnsiTheme="majorHAnsi"/>
          <w:sz w:val="20"/>
          <w:szCs w:val="20"/>
        </w:rPr>
        <w:t xml:space="preserve"> </w:t>
      </w:r>
      <w:r w:rsidRPr="00AB59C5">
        <w:rPr>
          <w:rFonts w:asciiTheme="majorHAnsi" w:hAnsiTheme="majorHAnsi" w:cs="Times"/>
          <w:sz w:val="20"/>
          <w:szCs w:val="20"/>
        </w:rPr>
        <w:t>Kerry L Ivey, Jonathan M Hodgson, Kevin D Croft, Joshua R Lewis, and Richard L Prince. Flavonoid intake and all-cause mortality. Am J Clin Nutr 2015;101:1012–20.</w:t>
      </w:r>
    </w:p>
  </w:footnote>
  <w:footnote w:id="2">
    <w:p w14:paraId="43CC203A" w14:textId="77777777" w:rsidR="00D56107" w:rsidRPr="00AB59C5" w:rsidRDefault="00D56107" w:rsidP="007E0946">
      <w:pPr>
        <w:pStyle w:val="Heading1"/>
        <w:shd w:val="clear" w:color="auto" w:fill="FFFFFF"/>
        <w:spacing w:before="0"/>
        <w:rPr>
          <w:rFonts w:eastAsia="Times New Roman" w:cs="Arial"/>
          <w:b/>
          <w:color w:val="auto"/>
          <w:sz w:val="20"/>
          <w:szCs w:val="20"/>
        </w:rPr>
      </w:pPr>
      <w:r w:rsidRPr="00AB59C5">
        <w:rPr>
          <w:rStyle w:val="FootnoteReference"/>
          <w:color w:val="auto"/>
          <w:sz w:val="20"/>
          <w:szCs w:val="20"/>
        </w:rPr>
        <w:footnoteRef/>
      </w:r>
      <w:r w:rsidRPr="00AB59C5">
        <w:rPr>
          <w:color w:val="auto"/>
          <w:sz w:val="20"/>
          <w:szCs w:val="20"/>
        </w:rPr>
        <w:t xml:space="preserve"> </w:t>
      </w:r>
      <w:hyperlink r:id="rId1" w:history="1">
        <w:r w:rsidRPr="00AB59C5">
          <w:rPr>
            <w:rFonts w:eastAsia="Times New Roman" w:cs="Times New Roman"/>
            <w:color w:val="auto"/>
            <w:sz w:val="20"/>
            <w:szCs w:val="20"/>
          </w:rPr>
          <w:t>Wang L</w:t>
        </w:r>
      </w:hyperlink>
      <w:r w:rsidRPr="00AB59C5">
        <w:rPr>
          <w:rFonts w:eastAsia="Times New Roman" w:cs="Times New Roman"/>
          <w:color w:val="auto"/>
          <w:sz w:val="20"/>
          <w:szCs w:val="20"/>
        </w:rPr>
        <w:t>, </w:t>
      </w:r>
      <w:hyperlink r:id="rId2" w:history="1">
        <w:r w:rsidRPr="00AB59C5">
          <w:rPr>
            <w:rFonts w:eastAsia="Times New Roman" w:cs="Times New Roman"/>
            <w:color w:val="auto"/>
            <w:sz w:val="20"/>
            <w:szCs w:val="20"/>
          </w:rPr>
          <w:t>Zhang X</w:t>
        </w:r>
      </w:hyperlink>
      <w:r w:rsidRPr="00AB59C5">
        <w:rPr>
          <w:rFonts w:eastAsia="Times New Roman" w:cs="Times New Roman"/>
          <w:color w:val="auto"/>
          <w:sz w:val="20"/>
          <w:szCs w:val="20"/>
        </w:rPr>
        <w:t>, </w:t>
      </w:r>
      <w:hyperlink r:id="rId3" w:history="1">
        <w:r w:rsidRPr="00AB59C5">
          <w:rPr>
            <w:rFonts w:eastAsia="Times New Roman" w:cs="Times New Roman"/>
            <w:color w:val="auto"/>
            <w:sz w:val="20"/>
            <w:szCs w:val="20"/>
          </w:rPr>
          <w:t>Liu J</w:t>
        </w:r>
      </w:hyperlink>
      <w:r w:rsidRPr="00AB59C5">
        <w:rPr>
          <w:rFonts w:eastAsia="Times New Roman" w:cs="Times New Roman"/>
          <w:color w:val="auto"/>
          <w:sz w:val="20"/>
          <w:szCs w:val="20"/>
        </w:rPr>
        <w:t>, </w:t>
      </w:r>
      <w:hyperlink r:id="rId4" w:history="1">
        <w:r w:rsidRPr="00AB59C5">
          <w:rPr>
            <w:rFonts w:eastAsia="Times New Roman" w:cs="Times New Roman"/>
            <w:color w:val="auto"/>
            <w:sz w:val="20"/>
            <w:szCs w:val="20"/>
          </w:rPr>
          <w:t>Shen L</w:t>
        </w:r>
      </w:hyperlink>
      <w:r w:rsidRPr="00AB59C5">
        <w:rPr>
          <w:rFonts w:eastAsia="Times New Roman" w:cs="Times New Roman"/>
          <w:color w:val="auto"/>
          <w:sz w:val="20"/>
          <w:szCs w:val="20"/>
        </w:rPr>
        <w:t>, </w:t>
      </w:r>
      <w:hyperlink r:id="rId5" w:history="1">
        <w:r w:rsidRPr="00AB59C5">
          <w:rPr>
            <w:rFonts w:eastAsia="Times New Roman" w:cs="Times New Roman"/>
            <w:color w:val="auto"/>
            <w:sz w:val="20"/>
            <w:szCs w:val="20"/>
          </w:rPr>
          <w:t>Li Z</w:t>
        </w:r>
      </w:hyperlink>
      <w:r w:rsidRPr="00AB59C5">
        <w:rPr>
          <w:rFonts w:eastAsia="Times New Roman" w:cs="Times New Roman"/>
          <w:color w:val="auto"/>
          <w:sz w:val="20"/>
          <w:szCs w:val="20"/>
        </w:rPr>
        <w:t xml:space="preserve">. </w:t>
      </w:r>
      <w:r w:rsidRPr="00AB59C5">
        <w:rPr>
          <w:rFonts w:eastAsia="Times New Roman" w:cs="Arial"/>
          <w:color w:val="auto"/>
          <w:sz w:val="20"/>
          <w:szCs w:val="20"/>
        </w:rPr>
        <w:t>Tea consumption and lung cancer risk: a meta-analysis of case-control and cohort studies</w:t>
      </w:r>
    </w:p>
    <w:p w14:paraId="08FD328E" w14:textId="77777777" w:rsidR="00D56107" w:rsidRPr="007E0946" w:rsidRDefault="00F236BD" w:rsidP="007E0946">
      <w:pPr>
        <w:rPr>
          <w:rFonts w:asciiTheme="majorHAnsi" w:eastAsia="Times New Roman" w:hAnsiTheme="majorHAnsi" w:cs="Times New Roman"/>
          <w:sz w:val="20"/>
          <w:szCs w:val="20"/>
          <w:lang w:val="en-GB"/>
        </w:rPr>
      </w:pPr>
      <w:hyperlink r:id="rId6" w:tooltip="Nutrition (Burbank, Los Angeles County, Calif.)." w:history="1">
        <w:r w:rsidR="00D56107" w:rsidRPr="007E0946">
          <w:rPr>
            <w:rFonts w:asciiTheme="majorHAnsi" w:eastAsia="Times New Roman" w:hAnsiTheme="majorHAnsi" w:cs="Times New Roman"/>
            <w:sz w:val="20"/>
            <w:szCs w:val="20"/>
            <w:lang w:val="en-GB"/>
          </w:rPr>
          <w:t>Nutrition.</w:t>
        </w:r>
      </w:hyperlink>
      <w:r w:rsidR="00D56107" w:rsidRPr="007E0946">
        <w:rPr>
          <w:rFonts w:asciiTheme="majorHAnsi" w:eastAsia="Times New Roman" w:hAnsiTheme="majorHAnsi" w:cs="Times New Roman"/>
          <w:sz w:val="20"/>
          <w:szCs w:val="20"/>
          <w:lang w:val="en-GB"/>
        </w:rPr>
        <w:t xml:space="preserve"> 2014 Oct;30(10):1122-7. </w:t>
      </w:r>
    </w:p>
    <w:p w14:paraId="7489311F" w14:textId="77777777" w:rsidR="00D56107" w:rsidRPr="007E0946" w:rsidRDefault="00D56107" w:rsidP="007E0946">
      <w:pPr>
        <w:pStyle w:val="FootnoteText"/>
        <w:rPr>
          <w:rFonts w:asciiTheme="majorHAnsi" w:hAnsiTheme="majorHAnsi"/>
          <w:sz w:val="20"/>
          <w:szCs w:val="20"/>
        </w:rPr>
      </w:pPr>
    </w:p>
  </w:footnote>
  <w:footnote w:id="3">
    <w:p w14:paraId="4E2E73AA" w14:textId="77777777" w:rsidR="00D56107" w:rsidRPr="007E0946" w:rsidRDefault="00D56107" w:rsidP="007E0946">
      <w:pPr>
        <w:widowControl w:val="0"/>
        <w:autoSpaceDE w:val="0"/>
        <w:autoSpaceDN w:val="0"/>
        <w:adjustRightInd w:val="0"/>
        <w:rPr>
          <w:rFonts w:asciiTheme="majorHAnsi" w:hAnsiTheme="majorHAnsi" w:cs="Times"/>
          <w:sz w:val="20"/>
          <w:szCs w:val="20"/>
        </w:rPr>
      </w:pPr>
      <w:r w:rsidRPr="007E0946">
        <w:rPr>
          <w:rStyle w:val="FootnoteReference"/>
          <w:rFonts w:asciiTheme="majorHAnsi" w:hAnsiTheme="majorHAnsi"/>
          <w:sz w:val="20"/>
          <w:szCs w:val="20"/>
        </w:rPr>
        <w:footnoteRef/>
      </w:r>
      <w:r w:rsidRPr="007E0946">
        <w:rPr>
          <w:rFonts w:asciiTheme="majorHAnsi" w:hAnsiTheme="majorHAnsi"/>
          <w:sz w:val="20"/>
          <w:szCs w:val="20"/>
        </w:rPr>
        <w:t xml:space="preserve"> </w:t>
      </w:r>
      <w:r w:rsidRPr="007E0946">
        <w:rPr>
          <w:rFonts w:asciiTheme="majorHAnsi" w:hAnsiTheme="majorHAnsi" w:cs="Times"/>
          <w:sz w:val="20"/>
          <w:szCs w:val="20"/>
        </w:rPr>
        <w:t>Yang CS, Ju J, Lu G, Xiao H, Hao X, Sang S, et al. Cancer prevention by tea and tea polyphenols. Asia Pac J Clin Nutr 2008;17(Suppl 1):245–8.</w:t>
      </w:r>
    </w:p>
    <w:p w14:paraId="67180EE8" w14:textId="77777777" w:rsidR="00D56107" w:rsidRDefault="00D56107" w:rsidP="00D5610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341399"/>
    <w:multiLevelType w:val="hybridMultilevel"/>
    <w:tmpl w:val="2B608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89"/>
    <w:rsid w:val="0013281B"/>
    <w:rsid w:val="002C527F"/>
    <w:rsid w:val="00477EE4"/>
    <w:rsid w:val="00611EC6"/>
    <w:rsid w:val="00626D89"/>
    <w:rsid w:val="007E0946"/>
    <w:rsid w:val="00AB59C5"/>
    <w:rsid w:val="00C529A8"/>
    <w:rsid w:val="00CF2C57"/>
    <w:rsid w:val="00D56107"/>
    <w:rsid w:val="00E93AE4"/>
    <w:rsid w:val="00F23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0768F5"/>
  <w14:defaultImageDpi w14:val="300"/>
  <w15:docId w15:val="{8170FB97-9631-454F-92C5-FC8F2C66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610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26D89"/>
  </w:style>
  <w:style w:type="character" w:customStyle="1" w:styleId="FootnoteTextChar">
    <w:name w:val="Footnote Text Char"/>
    <w:basedOn w:val="DefaultParagraphFont"/>
    <w:link w:val="FootnoteText"/>
    <w:uiPriority w:val="99"/>
    <w:rsid w:val="00626D89"/>
  </w:style>
  <w:style w:type="character" w:styleId="FootnoteReference">
    <w:name w:val="footnote reference"/>
    <w:basedOn w:val="DefaultParagraphFont"/>
    <w:uiPriority w:val="99"/>
    <w:unhideWhenUsed/>
    <w:rsid w:val="00626D89"/>
    <w:rPr>
      <w:vertAlign w:val="superscript"/>
    </w:rPr>
  </w:style>
  <w:style w:type="paragraph" w:styleId="ListParagraph">
    <w:name w:val="List Paragraph"/>
    <w:basedOn w:val="Normal"/>
    <w:uiPriority w:val="34"/>
    <w:qFormat/>
    <w:rsid w:val="002C527F"/>
    <w:pPr>
      <w:ind w:left="720"/>
      <w:contextualSpacing/>
    </w:pPr>
  </w:style>
  <w:style w:type="character" w:customStyle="1" w:styleId="Heading1Char">
    <w:name w:val="Heading 1 Char"/>
    <w:basedOn w:val="DefaultParagraphFont"/>
    <w:link w:val="Heading1"/>
    <w:uiPriority w:val="9"/>
    <w:rsid w:val="00D56107"/>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7E0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946"/>
    <w:rPr>
      <w:rFonts w:ascii="Segoe UI" w:hAnsi="Segoe UI" w:cs="Segoe UI"/>
      <w:sz w:val="18"/>
      <w:szCs w:val="18"/>
    </w:rPr>
  </w:style>
  <w:style w:type="character" w:styleId="CommentReference">
    <w:name w:val="annotation reference"/>
    <w:basedOn w:val="DefaultParagraphFont"/>
    <w:uiPriority w:val="99"/>
    <w:semiHidden/>
    <w:unhideWhenUsed/>
    <w:rsid w:val="00CF2C57"/>
    <w:rPr>
      <w:sz w:val="16"/>
      <w:szCs w:val="16"/>
    </w:rPr>
  </w:style>
  <w:style w:type="paragraph" w:styleId="CommentText">
    <w:name w:val="annotation text"/>
    <w:basedOn w:val="Normal"/>
    <w:link w:val="CommentTextChar"/>
    <w:uiPriority w:val="99"/>
    <w:semiHidden/>
    <w:unhideWhenUsed/>
    <w:rsid w:val="00CF2C57"/>
    <w:rPr>
      <w:sz w:val="20"/>
      <w:szCs w:val="20"/>
    </w:rPr>
  </w:style>
  <w:style w:type="character" w:customStyle="1" w:styleId="CommentTextChar">
    <w:name w:val="Comment Text Char"/>
    <w:basedOn w:val="DefaultParagraphFont"/>
    <w:link w:val="CommentText"/>
    <w:uiPriority w:val="99"/>
    <w:semiHidden/>
    <w:rsid w:val="00CF2C57"/>
    <w:rPr>
      <w:sz w:val="20"/>
      <w:szCs w:val="20"/>
    </w:rPr>
  </w:style>
  <w:style w:type="paragraph" w:styleId="CommentSubject">
    <w:name w:val="annotation subject"/>
    <w:basedOn w:val="CommentText"/>
    <w:next w:val="CommentText"/>
    <w:link w:val="CommentSubjectChar"/>
    <w:uiPriority w:val="99"/>
    <w:semiHidden/>
    <w:unhideWhenUsed/>
    <w:rsid w:val="00CF2C57"/>
    <w:rPr>
      <w:b/>
      <w:bCs/>
    </w:rPr>
  </w:style>
  <w:style w:type="character" w:customStyle="1" w:styleId="CommentSubjectChar">
    <w:name w:val="Comment Subject Char"/>
    <w:basedOn w:val="CommentTextChar"/>
    <w:link w:val="CommentSubject"/>
    <w:uiPriority w:val="99"/>
    <w:semiHidden/>
    <w:rsid w:val="00CF2C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advisorypane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ncbi.nlm.nih.gov/pubmed/?term=Liu%20J%5BAuthor%5D&amp;cauthor=true&amp;cauthor_uid=25194612" TargetMode="External"/><Relationship Id="rId2" Type="http://schemas.openxmlformats.org/officeDocument/2006/relationships/hyperlink" Target="http://www.ncbi.nlm.nih.gov/pubmed/?term=Zhang%20X%5BAuthor%5D&amp;cauthor=true&amp;cauthor_uid=25194612" TargetMode="External"/><Relationship Id="rId1" Type="http://schemas.openxmlformats.org/officeDocument/2006/relationships/hyperlink" Target="http://www.ncbi.nlm.nih.gov/pubmed/?term=Wang%20L%5BAuthor%5D&amp;cauthor=true&amp;cauthor_uid=25194612" TargetMode="External"/><Relationship Id="rId6" Type="http://schemas.openxmlformats.org/officeDocument/2006/relationships/hyperlink" Target="http://www.ncbi.nlm.nih.gov/pubmed/25194612?dopt=Abstract" TargetMode="External"/><Relationship Id="rId5" Type="http://schemas.openxmlformats.org/officeDocument/2006/relationships/hyperlink" Target="http://www.ncbi.nlm.nih.gov/pubmed/?term=Li%20Z%5BAuthor%5D&amp;cauthor=true&amp;cauthor_uid=25194612" TargetMode="External"/><Relationship Id="rId4" Type="http://schemas.openxmlformats.org/officeDocument/2006/relationships/hyperlink" Target="http://www.ncbi.nlm.nih.gov/pubmed/?term=Shen%20L%5BAuthor%5D&amp;cauthor=true&amp;cauthor_uid=251946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Mason</dc:creator>
  <cp:keywords/>
  <dc:description/>
  <cp:lastModifiedBy>Nicky Smith</cp:lastModifiedBy>
  <cp:revision>2</cp:revision>
  <cp:lastPrinted>2015-05-28T07:36:00Z</cp:lastPrinted>
  <dcterms:created xsi:type="dcterms:W3CDTF">2015-06-26T06:35:00Z</dcterms:created>
  <dcterms:modified xsi:type="dcterms:W3CDTF">2015-06-26T06:35:00Z</dcterms:modified>
</cp:coreProperties>
</file>