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5B" w:rsidRPr="00B349EE" w:rsidRDefault="00B349EE" w:rsidP="000F00DD">
      <w:pPr>
        <w:pStyle w:val="Body"/>
        <w:jc w:val="center"/>
        <w:rPr>
          <w:rFonts w:ascii="Calibri" w:hAnsi="Calibri"/>
          <w:b/>
          <w:bCs/>
        </w:rPr>
      </w:pPr>
      <w:r w:rsidRPr="000F00DD">
        <w:rPr>
          <w:rFonts w:ascii="Calibri" w:hAnsi="Calibri"/>
          <w:b/>
          <w:bCs/>
        </w:rPr>
        <w:t xml:space="preserve">A </w:t>
      </w:r>
      <w:r w:rsidRPr="00B349EE">
        <w:rPr>
          <w:rFonts w:ascii="Calibri" w:hAnsi="Calibri"/>
          <w:b/>
          <w:bCs/>
        </w:rPr>
        <w:t>CUPPA IS TEA-RIFFIC FOR TEETH</w:t>
      </w:r>
    </w:p>
    <w:p w:rsidR="00E0665B" w:rsidRPr="00B349EE" w:rsidRDefault="00E0665B">
      <w:pPr>
        <w:pStyle w:val="Body"/>
        <w:rPr>
          <w:rFonts w:ascii="Calibri" w:hAnsi="Calibri"/>
        </w:rPr>
      </w:pPr>
    </w:p>
    <w:p w:rsidR="00E0665B" w:rsidRPr="00B349EE" w:rsidRDefault="00B349EE">
      <w:pPr>
        <w:pStyle w:val="Body"/>
        <w:rPr>
          <w:rFonts w:ascii="Calibri" w:hAnsi="Calibri"/>
        </w:rPr>
      </w:pPr>
      <w:r w:rsidRPr="00B349EE">
        <w:rPr>
          <w:rFonts w:ascii="Calibri" w:hAnsi="Calibri"/>
        </w:rPr>
        <w:t xml:space="preserve">TEA is an important source of fluoride and the longer you leave it to brew, the better it is for </w:t>
      </w:r>
      <w:r w:rsidR="000F00DD" w:rsidRPr="00B349EE">
        <w:rPr>
          <w:rFonts w:ascii="Calibri" w:hAnsi="Calibri"/>
        </w:rPr>
        <w:t xml:space="preserve">your </w:t>
      </w:r>
      <w:r w:rsidRPr="00B349EE">
        <w:rPr>
          <w:rFonts w:ascii="Calibri" w:hAnsi="Calibri"/>
        </w:rPr>
        <w:t>teeth</w:t>
      </w:r>
      <w:r w:rsidR="000F00DD" w:rsidRPr="00B349EE">
        <w:rPr>
          <w:rFonts w:ascii="Calibri" w:hAnsi="Calibri"/>
        </w:rPr>
        <w:t>. That’s according to</w:t>
      </w:r>
      <w:r w:rsidRPr="00B349EE">
        <w:rPr>
          <w:rFonts w:ascii="Calibri" w:hAnsi="Calibri"/>
        </w:rPr>
        <w:t xml:space="preserve"> new research </w:t>
      </w:r>
      <w:r w:rsidRPr="00B349EE">
        <w:rPr>
          <w:rFonts w:ascii="Calibri" w:hAnsi="Calibri"/>
        </w:rPr>
        <w:t>which has just been presented at the annual Nutrition Society Meeting in Cork</w:t>
      </w:r>
      <w:r w:rsidRPr="00B349EE">
        <w:rPr>
          <w:rFonts w:ascii="Calibri" w:hAnsi="Calibri"/>
        </w:rPr>
        <w:t>.</w:t>
      </w:r>
    </w:p>
    <w:p w:rsidR="00E0665B" w:rsidRPr="00B349EE" w:rsidRDefault="00E0665B">
      <w:pPr>
        <w:pStyle w:val="Body"/>
        <w:rPr>
          <w:rFonts w:ascii="Calibri" w:hAnsi="Calibri"/>
        </w:rPr>
      </w:pPr>
    </w:p>
    <w:p w:rsidR="00E0665B" w:rsidRPr="00B349EE" w:rsidRDefault="000F00DD">
      <w:pPr>
        <w:pStyle w:val="Body"/>
        <w:rPr>
          <w:rFonts w:ascii="Calibri" w:hAnsi="Calibri"/>
        </w:rPr>
      </w:pPr>
      <w:r w:rsidRPr="00B349EE">
        <w:rPr>
          <w:rFonts w:ascii="Calibri" w:hAnsi="Calibri"/>
        </w:rPr>
        <w:t xml:space="preserve">Tea </w:t>
      </w:r>
      <w:r w:rsidR="00B349EE" w:rsidRPr="00B349EE">
        <w:rPr>
          <w:rFonts w:ascii="Calibri" w:hAnsi="Calibri"/>
        </w:rPr>
        <w:t>scientist</w:t>
      </w:r>
      <w:r w:rsidRPr="00B349EE">
        <w:rPr>
          <w:rFonts w:ascii="Calibri" w:hAnsi="Calibri"/>
        </w:rPr>
        <w:t xml:space="preserve">, study </w:t>
      </w:r>
      <w:r w:rsidR="00B349EE" w:rsidRPr="00B349EE">
        <w:rPr>
          <w:rFonts w:ascii="Calibri" w:hAnsi="Calibri"/>
        </w:rPr>
        <w:t xml:space="preserve">co-author </w:t>
      </w:r>
      <w:r w:rsidRPr="00B349EE">
        <w:rPr>
          <w:rFonts w:ascii="Calibri" w:hAnsi="Calibri"/>
        </w:rPr>
        <w:t>and a member of the Tea Advisory Panel (TAP)</w:t>
      </w:r>
      <w:r w:rsidR="00B349EE" w:rsidRPr="00B349EE">
        <w:rPr>
          <w:rFonts w:ascii="Calibri" w:hAnsi="Calibri"/>
        </w:rPr>
        <w:t xml:space="preserve">, Dr Tim Bond, says: </w:t>
      </w:r>
      <w:r w:rsidR="00B349EE" w:rsidRPr="00B349EE">
        <w:rPr>
          <w:rFonts w:ascii="Calibri" w:hAnsi="Calibri"/>
        </w:rPr>
        <w:t>“</w:t>
      </w:r>
      <w:r w:rsidR="00B349EE" w:rsidRPr="00B349EE">
        <w:rPr>
          <w:rFonts w:ascii="Calibri" w:hAnsi="Calibri"/>
        </w:rPr>
        <w:t>Our findings underline the health benefits of</w:t>
      </w:r>
      <w:r w:rsidRPr="00B349EE">
        <w:rPr>
          <w:rFonts w:ascii="Calibri" w:hAnsi="Calibri"/>
        </w:rPr>
        <w:t xml:space="preserve"> tea</w:t>
      </w:r>
      <w:r w:rsidR="00B349EE" w:rsidRPr="00B349EE">
        <w:rPr>
          <w:rFonts w:ascii="Calibri" w:hAnsi="Calibri"/>
        </w:rPr>
        <w:t>.</w:t>
      </w:r>
    </w:p>
    <w:p w:rsidR="00E0665B" w:rsidRPr="00B349EE" w:rsidRDefault="00E0665B">
      <w:pPr>
        <w:pStyle w:val="Body"/>
        <w:rPr>
          <w:rFonts w:ascii="Calibri" w:hAnsi="Calibri"/>
        </w:rPr>
      </w:pPr>
    </w:p>
    <w:p w:rsidR="00E0665B" w:rsidRPr="00B349EE" w:rsidRDefault="00B349EE">
      <w:pPr>
        <w:pStyle w:val="Body"/>
        <w:rPr>
          <w:rFonts w:ascii="Calibri" w:hAnsi="Calibri"/>
        </w:rPr>
      </w:pPr>
      <w:r w:rsidRPr="00B349EE">
        <w:rPr>
          <w:rFonts w:ascii="Calibri" w:hAnsi="Calibri"/>
        </w:rPr>
        <w:t>“</w:t>
      </w:r>
      <w:r w:rsidRPr="00B349EE">
        <w:rPr>
          <w:rFonts w:ascii="Calibri" w:hAnsi="Calibri"/>
        </w:rPr>
        <w:t>Drinks which are very sugary or acidic are a major cause of tooth decay and erosion, and they are often a factor in obesity, too, as we tend to focus o</w:t>
      </w:r>
      <w:r w:rsidRPr="00B349EE">
        <w:rPr>
          <w:rFonts w:ascii="Calibri" w:hAnsi="Calibri"/>
        </w:rPr>
        <w:t>n the calories we consume as food rather than those hidden away in drinks,</w:t>
      </w:r>
      <w:r w:rsidRPr="00B349EE">
        <w:rPr>
          <w:rFonts w:ascii="Calibri" w:hAnsi="Calibri"/>
        </w:rPr>
        <w:t xml:space="preserve">” </w:t>
      </w:r>
      <w:r w:rsidRPr="00B349EE">
        <w:rPr>
          <w:rFonts w:ascii="Calibri" w:hAnsi="Calibri"/>
        </w:rPr>
        <w:t>he says.</w:t>
      </w:r>
      <w:r w:rsidRPr="00B349EE">
        <w:rPr>
          <w:rFonts w:ascii="Calibri" w:eastAsia="Helvetica" w:hAnsi="Calibri" w:cs="Helvetica"/>
          <w:vertAlign w:val="superscript"/>
        </w:rPr>
        <w:footnoteReference w:id="2"/>
      </w:r>
    </w:p>
    <w:p w:rsidR="00E0665B" w:rsidRPr="00B349EE" w:rsidRDefault="00E0665B">
      <w:pPr>
        <w:pStyle w:val="Body"/>
        <w:rPr>
          <w:rFonts w:ascii="Calibri" w:hAnsi="Calibri"/>
        </w:rPr>
      </w:pPr>
    </w:p>
    <w:p w:rsidR="00E0665B" w:rsidRPr="00B349EE" w:rsidRDefault="00B349EE">
      <w:pPr>
        <w:pStyle w:val="Body"/>
        <w:rPr>
          <w:rFonts w:ascii="Calibri" w:hAnsi="Calibri"/>
        </w:rPr>
      </w:pPr>
      <w:r w:rsidRPr="00B349EE">
        <w:rPr>
          <w:rFonts w:ascii="Calibri" w:hAnsi="Calibri"/>
        </w:rPr>
        <w:t>“</w:t>
      </w:r>
      <w:r w:rsidRPr="00B349EE">
        <w:rPr>
          <w:rFonts w:ascii="Calibri" w:hAnsi="Calibri"/>
        </w:rPr>
        <w:t xml:space="preserve">Tea does not damage dental enamel </w:t>
      </w:r>
      <w:r w:rsidR="000F00DD" w:rsidRPr="00B349EE">
        <w:rPr>
          <w:rFonts w:ascii="Calibri" w:hAnsi="Calibri"/>
        </w:rPr>
        <w:t xml:space="preserve">unlike </w:t>
      </w:r>
      <w:r w:rsidRPr="00B349EE">
        <w:rPr>
          <w:rFonts w:ascii="Calibri" w:hAnsi="Calibri"/>
        </w:rPr>
        <w:t>sugary and carbonated drinks, acidic juice or alcohol</w:t>
      </w:r>
      <w:r w:rsidR="000F00DD" w:rsidRPr="00B349EE">
        <w:rPr>
          <w:rFonts w:ascii="Calibri" w:hAnsi="Calibri"/>
        </w:rPr>
        <w:t>. I</w:t>
      </w:r>
      <w:r w:rsidRPr="00B349EE">
        <w:rPr>
          <w:rFonts w:ascii="Calibri" w:hAnsi="Calibri"/>
        </w:rPr>
        <w:t xml:space="preserve">nstead, </w:t>
      </w:r>
      <w:r w:rsidR="000F00DD" w:rsidRPr="00B349EE">
        <w:rPr>
          <w:rFonts w:ascii="Calibri" w:hAnsi="Calibri"/>
        </w:rPr>
        <w:t xml:space="preserve">tea </w:t>
      </w:r>
      <w:r w:rsidRPr="00B349EE">
        <w:rPr>
          <w:rFonts w:ascii="Calibri" w:hAnsi="Calibri"/>
        </w:rPr>
        <w:t>protects and strengthens teeth. In fact, it is e</w:t>
      </w:r>
      <w:r w:rsidRPr="00B349EE">
        <w:rPr>
          <w:rFonts w:ascii="Calibri" w:hAnsi="Calibri"/>
        </w:rPr>
        <w:t>stimated that 70 per cent of the average UK intake of fluoride comes in a cuppa.</w:t>
      </w:r>
      <w:r w:rsidRPr="00B349EE">
        <w:rPr>
          <w:rFonts w:ascii="Calibri" w:hAnsi="Calibri"/>
        </w:rPr>
        <w:t>”</w:t>
      </w:r>
      <w:r w:rsidRPr="00B349EE">
        <w:rPr>
          <w:rFonts w:ascii="Calibri" w:eastAsia="Helvetica" w:hAnsi="Calibri" w:cs="Helvetica"/>
          <w:vertAlign w:val="superscript"/>
        </w:rPr>
        <w:footnoteReference w:id="3"/>
      </w:r>
      <w:r w:rsidRPr="00B349EE">
        <w:rPr>
          <w:rFonts w:ascii="Calibri" w:hAnsi="Calibri"/>
        </w:rPr>
        <w:t xml:space="preserve"> </w:t>
      </w:r>
    </w:p>
    <w:p w:rsidR="00E0665B" w:rsidRPr="00B349EE" w:rsidRDefault="00E0665B">
      <w:pPr>
        <w:pStyle w:val="Body"/>
        <w:rPr>
          <w:rFonts w:ascii="Calibri" w:hAnsi="Calibri"/>
        </w:rPr>
      </w:pPr>
    </w:p>
    <w:p w:rsidR="00E0665B" w:rsidRPr="00B349EE" w:rsidRDefault="00B349EE">
      <w:pPr>
        <w:pStyle w:val="Body"/>
        <w:rPr>
          <w:rFonts w:ascii="Calibri" w:hAnsi="Calibri"/>
        </w:rPr>
      </w:pPr>
      <w:r w:rsidRPr="00B349EE">
        <w:rPr>
          <w:rFonts w:ascii="Calibri" w:hAnsi="Calibri"/>
        </w:rPr>
        <w:t xml:space="preserve">Dr Bond and nutritionist Dr Carrie Ruxton tested three brands of black tea, selected to represent economy, mid-range and premium products. One tea-bag was brewed in 240ml </w:t>
      </w:r>
      <w:r w:rsidRPr="00B349EE">
        <w:rPr>
          <w:rFonts w:ascii="Calibri" w:hAnsi="Calibri"/>
        </w:rPr>
        <w:t>of freshly boiled water and then allowed to brew before the bag was squeezed gently against the side of the beak and removed.</w:t>
      </w:r>
    </w:p>
    <w:p w:rsidR="00E0665B" w:rsidRPr="00B349EE" w:rsidRDefault="00E0665B">
      <w:pPr>
        <w:pStyle w:val="Body"/>
        <w:rPr>
          <w:rFonts w:ascii="Calibri" w:hAnsi="Calibri"/>
        </w:rPr>
      </w:pPr>
    </w:p>
    <w:p w:rsidR="00E0665B" w:rsidRPr="00B349EE" w:rsidRDefault="00B349EE" w:rsidP="000F00DD">
      <w:pPr>
        <w:pStyle w:val="Body"/>
        <w:rPr>
          <w:rFonts w:ascii="Calibri" w:hAnsi="Calibri"/>
        </w:rPr>
      </w:pPr>
      <w:r w:rsidRPr="00B349EE">
        <w:rPr>
          <w:rFonts w:ascii="Calibri" w:hAnsi="Calibri"/>
        </w:rPr>
        <w:t>This process was repeated three times and the liquid was then combined before it was tested to obtain an average fluoride content</w:t>
      </w:r>
      <w:r w:rsidRPr="00B349EE">
        <w:rPr>
          <w:rFonts w:ascii="Calibri" w:hAnsi="Calibri"/>
        </w:rPr>
        <w:t xml:space="preserve"> for each t</w:t>
      </w:r>
      <w:bookmarkStart w:id="0" w:name="_GoBack"/>
      <w:bookmarkEnd w:id="0"/>
      <w:r w:rsidRPr="00B349EE">
        <w:rPr>
          <w:rFonts w:ascii="Calibri" w:hAnsi="Calibri"/>
        </w:rPr>
        <w:t>ea and brew-time</w:t>
      </w:r>
      <w:r w:rsidR="000F00DD" w:rsidRPr="00B349EE">
        <w:rPr>
          <w:rFonts w:ascii="Calibri" w:hAnsi="Calibri"/>
        </w:rPr>
        <w:t>.</w:t>
      </w:r>
      <w:r w:rsidRPr="00B349EE">
        <w:rPr>
          <w:rFonts w:ascii="Calibri" w:hAnsi="Calibri"/>
        </w:rPr>
        <w:t xml:space="preserve"> </w:t>
      </w:r>
    </w:p>
    <w:p w:rsidR="00E0665B" w:rsidRPr="00B349EE" w:rsidRDefault="00E0665B">
      <w:pPr>
        <w:pStyle w:val="Body"/>
        <w:rPr>
          <w:rFonts w:ascii="Calibri" w:hAnsi="Calibri"/>
        </w:rPr>
      </w:pPr>
    </w:p>
    <w:p w:rsidR="000F00DD" w:rsidRPr="00B349EE" w:rsidRDefault="00B349EE">
      <w:pPr>
        <w:pStyle w:val="Body"/>
        <w:rPr>
          <w:rFonts w:ascii="Calibri" w:hAnsi="Calibri"/>
        </w:rPr>
      </w:pPr>
      <w:r w:rsidRPr="00B349EE">
        <w:rPr>
          <w:rFonts w:ascii="Calibri" w:hAnsi="Calibri"/>
        </w:rPr>
        <w:t>Fluoride levels in all three teas increased with longer brewing times</w:t>
      </w:r>
      <w:r w:rsidRPr="00B349EE">
        <w:rPr>
          <w:rFonts w:ascii="Calibri" w:hAnsi="Calibri"/>
        </w:rPr>
        <w:t>.</w:t>
      </w:r>
      <w:r w:rsidR="00703132" w:rsidRPr="00B349EE">
        <w:rPr>
          <w:rFonts w:ascii="Calibri" w:hAnsi="Calibri"/>
        </w:rPr>
        <w:t xml:space="preserve"> </w:t>
      </w:r>
      <w:r w:rsidRPr="00B349EE">
        <w:rPr>
          <w:rFonts w:ascii="Calibri" w:hAnsi="Calibri"/>
        </w:rPr>
        <w:t>Th</w:t>
      </w:r>
      <w:r w:rsidR="000F00DD" w:rsidRPr="00B349EE">
        <w:rPr>
          <w:rFonts w:ascii="Calibri" w:hAnsi="Calibri"/>
        </w:rPr>
        <w:t>is latest</w:t>
      </w:r>
      <w:r w:rsidRPr="00B349EE">
        <w:rPr>
          <w:rFonts w:ascii="Calibri" w:hAnsi="Calibri"/>
        </w:rPr>
        <w:t xml:space="preserve"> study</w:t>
      </w:r>
      <w:r w:rsidRPr="00B349EE">
        <w:rPr>
          <w:rFonts w:ascii="Calibri" w:hAnsi="Calibri"/>
        </w:rPr>
        <w:t xml:space="preserve"> </w:t>
      </w:r>
      <w:r w:rsidRPr="00B349EE">
        <w:rPr>
          <w:rFonts w:ascii="Calibri" w:hAnsi="Calibri"/>
        </w:rPr>
        <w:t>adds to a growing body of evidence of</w:t>
      </w:r>
      <w:r w:rsidRPr="00B349EE">
        <w:rPr>
          <w:rFonts w:ascii="Calibri" w:hAnsi="Calibri"/>
        </w:rPr>
        <w:t xml:space="preserve"> the importance of tea for healthy hydration. </w:t>
      </w:r>
    </w:p>
    <w:p w:rsidR="00E0665B" w:rsidRPr="00B349EE" w:rsidRDefault="00E0665B">
      <w:pPr>
        <w:pStyle w:val="Body"/>
        <w:rPr>
          <w:rFonts w:ascii="Calibri" w:hAnsi="Calibri"/>
        </w:rPr>
      </w:pPr>
    </w:p>
    <w:p w:rsidR="00703132" w:rsidRPr="00B349EE" w:rsidRDefault="00703132">
      <w:pPr>
        <w:pStyle w:val="Body"/>
        <w:rPr>
          <w:rFonts w:ascii="Calibri" w:hAnsi="Calibri"/>
          <w:b/>
        </w:rPr>
      </w:pPr>
      <w:r w:rsidRPr="00B349EE">
        <w:rPr>
          <w:rFonts w:ascii="Calibri" w:hAnsi="Calibri"/>
          <w:b/>
        </w:rPr>
        <w:t>TEA – PACKING A HEALTH PUNCH</w:t>
      </w:r>
    </w:p>
    <w:p w:rsidR="00E0665B" w:rsidRPr="00B349EE" w:rsidRDefault="00B349EE">
      <w:pPr>
        <w:pStyle w:val="Body"/>
        <w:rPr>
          <w:rFonts w:ascii="Calibri" w:hAnsi="Calibri"/>
        </w:rPr>
      </w:pPr>
      <w:r w:rsidRPr="00B349EE">
        <w:rPr>
          <w:rFonts w:ascii="Calibri" w:hAnsi="Calibri"/>
        </w:rPr>
        <w:t>All forms of tea contain polyphenols, a family of plant compounds which appear to have antioxidant, anti-inflammatory and anti-proliferative properties</w:t>
      </w:r>
      <w:r w:rsidRPr="00B349EE">
        <w:rPr>
          <w:rFonts w:ascii="Calibri" w:eastAsia="Helvetica" w:hAnsi="Calibri" w:cs="Helvetica"/>
          <w:vertAlign w:val="superscript"/>
        </w:rPr>
        <w:footnoteReference w:id="4"/>
      </w:r>
      <w:r w:rsidRPr="00B349EE">
        <w:rPr>
          <w:rFonts w:ascii="Calibri" w:hAnsi="Calibri"/>
        </w:rPr>
        <w:t xml:space="preserve"> and recent research suggests that almost half the UK intak</w:t>
      </w:r>
      <w:r w:rsidRPr="00B349EE">
        <w:rPr>
          <w:rFonts w:ascii="Calibri" w:hAnsi="Calibri"/>
        </w:rPr>
        <w:t>e of flavonoids come from tea.</w:t>
      </w:r>
      <w:r w:rsidRPr="00B349EE">
        <w:rPr>
          <w:rFonts w:ascii="Calibri" w:eastAsia="Helvetica" w:hAnsi="Calibri" w:cs="Helvetica"/>
          <w:vertAlign w:val="superscript"/>
        </w:rPr>
        <w:footnoteReference w:id="5"/>
      </w:r>
    </w:p>
    <w:p w:rsidR="00E0665B" w:rsidRPr="00B349EE" w:rsidRDefault="00E0665B">
      <w:pPr>
        <w:pStyle w:val="Body"/>
        <w:rPr>
          <w:rFonts w:ascii="Calibri" w:hAnsi="Calibri"/>
        </w:rPr>
      </w:pPr>
    </w:p>
    <w:p w:rsidR="00E0665B" w:rsidRPr="00B349EE" w:rsidRDefault="00B349EE">
      <w:pPr>
        <w:pStyle w:val="Body"/>
        <w:rPr>
          <w:rFonts w:ascii="Calibri" w:hAnsi="Calibri"/>
        </w:rPr>
      </w:pPr>
      <w:r w:rsidRPr="00B349EE">
        <w:rPr>
          <w:rFonts w:ascii="Calibri" w:hAnsi="Calibri"/>
        </w:rPr>
        <w:t>Dr Ruxton</w:t>
      </w:r>
      <w:r w:rsidR="000F00DD" w:rsidRPr="00B349EE">
        <w:rPr>
          <w:rFonts w:ascii="Calibri" w:hAnsi="Calibri"/>
        </w:rPr>
        <w:t>, dietitian and a member of the Tea Advisory panel</w:t>
      </w:r>
      <w:r w:rsidRPr="00B349EE">
        <w:rPr>
          <w:rFonts w:ascii="Calibri" w:hAnsi="Calibri"/>
        </w:rPr>
        <w:t xml:space="preserve"> points out: </w:t>
      </w:r>
      <w:r w:rsidRPr="00B349EE">
        <w:rPr>
          <w:rFonts w:ascii="Calibri" w:hAnsi="Calibri"/>
        </w:rPr>
        <w:t>“</w:t>
      </w:r>
      <w:r w:rsidRPr="00B349EE">
        <w:rPr>
          <w:rFonts w:ascii="Calibri" w:hAnsi="Calibri"/>
        </w:rPr>
        <w:t>There is a lot of interest in flavonoids because there is now good evidence that they are associated with increased antioxidant activity, reduced lipid peroxide and improved resistance to oxidation of</w:t>
      </w:r>
      <w:r w:rsidRPr="00B349EE">
        <w:rPr>
          <w:rFonts w:ascii="Calibri" w:hAnsi="Calibri"/>
        </w:rPr>
        <w:t xml:space="preserve"> unhealthy LDL cholesterol.</w:t>
      </w:r>
      <w:r w:rsidRPr="00B349EE">
        <w:rPr>
          <w:rFonts w:ascii="Calibri" w:hAnsi="Calibri"/>
        </w:rPr>
        <w:t>”</w:t>
      </w:r>
    </w:p>
    <w:p w:rsidR="00E0665B" w:rsidRPr="00B349EE" w:rsidRDefault="00E0665B">
      <w:pPr>
        <w:pStyle w:val="Body"/>
        <w:rPr>
          <w:rFonts w:ascii="Calibri" w:hAnsi="Calibri"/>
        </w:rPr>
      </w:pPr>
    </w:p>
    <w:p w:rsidR="00E0665B" w:rsidRPr="00B349EE" w:rsidRDefault="00B349EE">
      <w:pPr>
        <w:pStyle w:val="Body"/>
        <w:rPr>
          <w:rFonts w:ascii="Calibri" w:hAnsi="Calibri"/>
        </w:rPr>
      </w:pPr>
      <w:r w:rsidRPr="00B349EE">
        <w:rPr>
          <w:rFonts w:ascii="Calibri" w:hAnsi="Calibri"/>
        </w:rPr>
        <w:t>However both Dr Ruxton and Dr Bond warn that scare stories about caffeinated drinks and questionable advice from people who call themselves nutritionists or nutritional therapists but have no reputable qualifications, have mud</w:t>
      </w:r>
      <w:r w:rsidRPr="00B349EE">
        <w:rPr>
          <w:rFonts w:ascii="Calibri" w:hAnsi="Calibri"/>
        </w:rPr>
        <w:t>died the water when it comes health messages on hydration.</w:t>
      </w:r>
    </w:p>
    <w:p w:rsidR="00E0665B" w:rsidRPr="00B349EE" w:rsidRDefault="00E0665B">
      <w:pPr>
        <w:pStyle w:val="Body"/>
        <w:rPr>
          <w:rFonts w:ascii="Calibri" w:hAnsi="Calibri"/>
        </w:rPr>
      </w:pPr>
    </w:p>
    <w:p w:rsidR="00E0665B" w:rsidRPr="00B349EE" w:rsidRDefault="00B349EE">
      <w:pPr>
        <w:pStyle w:val="Body"/>
        <w:rPr>
          <w:rFonts w:ascii="Calibri" w:hAnsi="Calibri"/>
        </w:rPr>
      </w:pPr>
      <w:proofErr w:type="gramStart"/>
      <w:r w:rsidRPr="00B349EE">
        <w:rPr>
          <w:rFonts w:ascii="Calibri" w:hAnsi="Calibri"/>
        </w:rPr>
        <w:t>ln</w:t>
      </w:r>
      <w:proofErr w:type="gramEnd"/>
      <w:r w:rsidRPr="00B349EE">
        <w:rPr>
          <w:rFonts w:ascii="Calibri" w:hAnsi="Calibri"/>
        </w:rPr>
        <w:t xml:space="preserve"> a recent review of hydration, Dr Ruxton highlights the flimsy basis for claims that the caffeine in coffee and tea could have a negative effect on hydration. </w:t>
      </w:r>
    </w:p>
    <w:p w:rsidR="00E0665B" w:rsidRPr="00B349EE" w:rsidRDefault="00E0665B">
      <w:pPr>
        <w:pStyle w:val="Body"/>
        <w:rPr>
          <w:rFonts w:ascii="Calibri" w:hAnsi="Calibri"/>
        </w:rPr>
      </w:pPr>
    </w:p>
    <w:p w:rsidR="00E0665B" w:rsidRPr="00B349EE" w:rsidRDefault="00B349EE">
      <w:pPr>
        <w:pStyle w:val="Body"/>
        <w:rPr>
          <w:rFonts w:ascii="Calibri" w:hAnsi="Calibri"/>
        </w:rPr>
      </w:pPr>
      <w:r w:rsidRPr="00B349EE">
        <w:rPr>
          <w:rFonts w:ascii="Calibri" w:hAnsi="Calibri"/>
        </w:rPr>
        <w:t xml:space="preserve">She explains: </w:t>
      </w:r>
      <w:r w:rsidRPr="00B349EE">
        <w:rPr>
          <w:rFonts w:ascii="Calibri" w:hAnsi="Calibri"/>
        </w:rPr>
        <w:t>“</w:t>
      </w:r>
      <w:r w:rsidRPr="00B349EE">
        <w:rPr>
          <w:rFonts w:ascii="Calibri" w:hAnsi="Calibri"/>
        </w:rPr>
        <w:t>This highly questi</w:t>
      </w:r>
      <w:r w:rsidRPr="00B349EE">
        <w:rPr>
          <w:rFonts w:ascii="Calibri" w:hAnsi="Calibri"/>
        </w:rPr>
        <w:t xml:space="preserve">onable advice is based largely on animal studies or human trials using high doses of caffeine pills rather than caffeinated drinks. And when it comes to tea there are actually only two trials which specifically examine the impact of tea on hydration </w:t>
      </w:r>
      <w:r w:rsidRPr="00B349EE">
        <w:rPr>
          <w:rFonts w:ascii="Calibri" w:hAnsi="Calibri"/>
        </w:rPr>
        <w:t xml:space="preserve">— </w:t>
      </w:r>
      <w:r w:rsidRPr="00B349EE">
        <w:rPr>
          <w:rFonts w:ascii="Calibri" w:hAnsi="Calibri"/>
        </w:rPr>
        <w:t xml:space="preserve">and </w:t>
      </w:r>
      <w:r w:rsidRPr="00B349EE">
        <w:rPr>
          <w:rFonts w:ascii="Calibri" w:hAnsi="Calibri"/>
        </w:rPr>
        <w:t>neither found any problem at all.</w:t>
      </w:r>
      <w:r w:rsidRPr="00B349EE">
        <w:rPr>
          <w:rFonts w:ascii="Calibri" w:hAnsi="Calibri"/>
        </w:rPr>
        <w:t>”</w:t>
      </w:r>
    </w:p>
    <w:p w:rsidR="00E0665B" w:rsidRPr="00B349EE" w:rsidRDefault="00E0665B">
      <w:pPr>
        <w:pStyle w:val="Body"/>
        <w:rPr>
          <w:rFonts w:ascii="Calibri" w:hAnsi="Calibri"/>
        </w:rPr>
      </w:pPr>
    </w:p>
    <w:p w:rsidR="00E0665B" w:rsidRPr="00B349EE" w:rsidRDefault="00B349EE">
      <w:pPr>
        <w:pStyle w:val="Body"/>
        <w:rPr>
          <w:rFonts w:ascii="Calibri" w:hAnsi="Calibri"/>
        </w:rPr>
      </w:pPr>
      <w:r w:rsidRPr="00B349EE">
        <w:rPr>
          <w:rFonts w:ascii="Calibri" w:hAnsi="Calibri"/>
        </w:rPr>
        <w:t xml:space="preserve">There is now solid evidence </w:t>
      </w:r>
      <w:r w:rsidRPr="00B349EE">
        <w:rPr>
          <w:rFonts w:ascii="Calibri" w:hAnsi="Calibri"/>
        </w:rPr>
        <w:t xml:space="preserve">— </w:t>
      </w:r>
      <w:r w:rsidRPr="00B349EE">
        <w:rPr>
          <w:rFonts w:ascii="Calibri" w:hAnsi="Calibri"/>
        </w:rPr>
        <w:t xml:space="preserve">from a range of observational studies backed up by laboratory and human trials </w:t>
      </w:r>
      <w:r w:rsidRPr="00B349EE">
        <w:rPr>
          <w:rFonts w:ascii="Calibri" w:hAnsi="Calibri"/>
        </w:rPr>
        <w:t xml:space="preserve">— </w:t>
      </w:r>
      <w:r w:rsidRPr="00B349EE">
        <w:rPr>
          <w:rFonts w:ascii="Calibri" w:hAnsi="Calibri"/>
        </w:rPr>
        <w:t>to show that regular tea consumption is associated with a</w:t>
      </w:r>
      <w:r w:rsidRPr="00B349EE">
        <w:rPr>
          <w:rFonts w:ascii="Calibri" w:hAnsi="Calibri"/>
        </w:rPr>
        <w:t xml:space="preserve"> decreased</w:t>
      </w:r>
      <w:r w:rsidRPr="00B349EE">
        <w:rPr>
          <w:rFonts w:ascii="Calibri" w:hAnsi="Calibri"/>
        </w:rPr>
        <w:t xml:space="preserve"> risk of cardiovascular disease, type 2 d</w:t>
      </w:r>
      <w:r w:rsidRPr="00B349EE">
        <w:rPr>
          <w:rFonts w:ascii="Calibri" w:hAnsi="Calibri"/>
        </w:rPr>
        <w:t>iabetes, some cancers, neurodegenerative diseases and obesity.</w:t>
      </w:r>
      <w:r w:rsidRPr="00B349EE">
        <w:rPr>
          <w:rFonts w:ascii="Calibri" w:eastAsia="Helvetica" w:hAnsi="Calibri" w:cs="Helvetica"/>
          <w:vertAlign w:val="superscript"/>
        </w:rPr>
        <w:footnoteReference w:id="6"/>
      </w:r>
    </w:p>
    <w:p w:rsidR="00703132" w:rsidRPr="00703132" w:rsidRDefault="00703132" w:rsidP="007031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1440" w:firstLine="720"/>
        <w:rPr>
          <w:rFonts w:ascii="Calibri" w:eastAsia="MS Mincho" w:hAnsi="Calibri" w:cs="Arial"/>
          <w:color w:val="000000"/>
          <w:sz w:val="22"/>
          <w:szCs w:val="22"/>
          <w:bdr w:val="none" w:sz="0" w:space="0" w:color="auto"/>
          <w:lang w:val="en-GB"/>
        </w:rPr>
      </w:pPr>
      <w:r w:rsidRPr="00703132">
        <w:rPr>
          <w:rFonts w:ascii="Calibri" w:eastAsia="MS Mincho" w:hAnsi="Calibri" w:cs="Arial"/>
          <w:color w:val="000000"/>
          <w:sz w:val="22"/>
          <w:szCs w:val="22"/>
          <w:bdr w:val="none" w:sz="0" w:space="0" w:color="auto"/>
          <w:lang w:val="en-GB"/>
        </w:rPr>
        <w:t>ENDS-</w:t>
      </w:r>
    </w:p>
    <w:p w:rsidR="00703132" w:rsidRPr="00703132" w:rsidRDefault="00703132" w:rsidP="00703132">
      <w:pPr>
        <w:pBdr>
          <w:top w:val="single" w:sz="4" w:space="9" w:color="auto"/>
          <w:left w:val="single" w:sz="4" w:space="4" w:color="auto"/>
          <w:bottom w:val="single" w:sz="4" w:space="1" w:color="auto"/>
          <w:right w:val="single" w:sz="4" w:space="4" w:color="auto"/>
          <w:between w:val="none" w:sz="0" w:space="0" w:color="auto"/>
          <w:bar w:val="none" w:sz="0" w:color="auto"/>
        </w:pBdr>
        <w:rPr>
          <w:rFonts w:ascii="Calibri" w:eastAsia="Times New Roman" w:hAnsi="Calibri" w:cs="Arial"/>
          <w:sz w:val="22"/>
          <w:szCs w:val="22"/>
          <w:bdr w:val="none" w:sz="0" w:space="0" w:color="auto"/>
          <w:lang w:val="en-GB" w:eastAsia="en-GB"/>
        </w:rPr>
      </w:pPr>
      <w:r w:rsidRPr="00703132">
        <w:rPr>
          <w:rFonts w:ascii="Calibri" w:eastAsia="Times New Roman" w:hAnsi="Calibri" w:cs="Arial"/>
          <w:b/>
          <w:sz w:val="22"/>
          <w:szCs w:val="22"/>
          <w:bdr w:val="none" w:sz="0" w:space="0" w:color="auto"/>
          <w:lang w:val="en-GB" w:eastAsia="en-GB"/>
        </w:rPr>
        <w:t xml:space="preserve">The Tea Advisory Panel: </w:t>
      </w:r>
      <w:r w:rsidRPr="00703132">
        <w:rPr>
          <w:rFonts w:ascii="Calibri" w:eastAsia="Times New Roman" w:hAnsi="Calibri" w:cs="Arial"/>
          <w:color w:val="000000"/>
          <w:sz w:val="22"/>
          <w:szCs w:val="22"/>
          <w:bdr w:val="none" w:sz="0" w:space="0" w:color="auto"/>
          <w:lang w:val="en-GB" w:eastAsia="en-GB"/>
        </w:rPr>
        <w:t xml:space="preserve">The Tea Advisory Panel is supported by an unrestricted educational grant from the </w:t>
      </w:r>
      <w:r w:rsidRPr="00703132">
        <w:rPr>
          <w:rFonts w:ascii="Calibri" w:eastAsia="Times New Roman" w:hAnsi="Calibri" w:cs="Arial"/>
          <w:b/>
          <w:color w:val="000000"/>
          <w:sz w:val="22"/>
          <w:szCs w:val="22"/>
          <w:bdr w:val="none" w:sz="0" w:space="0" w:color="auto"/>
          <w:lang w:val="en-GB" w:eastAsia="en-GB"/>
        </w:rPr>
        <w:t>UK TEA &amp; INFUSIONS ASSOCIATION</w:t>
      </w:r>
      <w:r w:rsidRPr="00703132">
        <w:rPr>
          <w:rFonts w:ascii="Calibri" w:eastAsia="Times New Roman" w:hAnsi="Calibri" w:cs="Arial"/>
          <w:color w:val="000000"/>
          <w:sz w:val="22"/>
          <w:szCs w:val="22"/>
          <w:bdr w:val="none" w:sz="0" w:space="0" w:color="auto"/>
          <w:lang w:val="en-GB" w:eastAsia="en-GB"/>
        </w:rPr>
        <w:t xml:space="preserve">, the trade association for the UK tea industry. The Panel has been created to provide media with impartial information regarding the health benefits of tea. Panel members include nutritionists; dieticians and doctors.  </w:t>
      </w:r>
    </w:p>
    <w:p w:rsidR="00703132" w:rsidRPr="00703132" w:rsidRDefault="00703132" w:rsidP="007031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Calibri" w:eastAsia="MS Mincho" w:hAnsi="Calibri" w:cs="Times"/>
          <w:sz w:val="22"/>
          <w:szCs w:val="22"/>
          <w:bdr w:val="none" w:sz="0" w:space="0" w:color="auto"/>
        </w:rPr>
      </w:pPr>
    </w:p>
    <w:p w:rsidR="00703132" w:rsidRPr="00703132" w:rsidRDefault="00703132" w:rsidP="007031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szCs w:val="22"/>
          <w:bdr w:val="none" w:sz="0" w:space="0" w:color="auto"/>
          <w:lang w:val="en-GB" w:eastAsia="en-GB"/>
        </w:rPr>
      </w:pPr>
      <w:r w:rsidRPr="00703132">
        <w:rPr>
          <w:rFonts w:ascii="Calibri" w:eastAsia="Times New Roman" w:hAnsi="Calibri" w:cs="Arial"/>
          <w:color w:val="000000"/>
          <w:sz w:val="22"/>
          <w:szCs w:val="22"/>
          <w:bdr w:val="none" w:sz="0" w:space="0" w:color="auto"/>
          <w:lang w:val="en-GB" w:eastAsia="en-GB"/>
        </w:rPr>
        <w:t>For further information please</w:t>
      </w:r>
      <w:r w:rsidRPr="00703132">
        <w:rPr>
          <w:rFonts w:ascii="Calibri" w:eastAsia="Times New Roman" w:hAnsi="Calibri" w:cs="Arial"/>
          <w:sz w:val="22"/>
          <w:szCs w:val="22"/>
          <w:bdr w:val="none" w:sz="0" w:space="0" w:color="auto"/>
          <w:lang w:val="en-GB" w:eastAsia="en-GB"/>
        </w:rPr>
        <w:t xml:space="preserve"> contact: </w:t>
      </w:r>
    </w:p>
    <w:p w:rsidR="00703132" w:rsidRPr="00703132" w:rsidRDefault="00703132" w:rsidP="007031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Arial"/>
          <w:sz w:val="22"/>
          <w:szCs w:val="22"/>
          <w:bdr w:val="none" w:sz="0" w:space="0" w:color="auto"/>
          <w:lang w:val="en-GB" w:eastAsia="en-GB"/>
        </w:rPr>
      </w:pPr>
      <w:r w:rsidRPr="00703132">
        <w:rPr>
          <w:rFonts w:ascii="Calibri" w:eastAsia="Times New Roman" w:hAnsi="Calibri" w:cs="Arial"/>
          <w:b/>
          <w:sz w:val="22"/>
          <w:szCs w:val="22"/>
          <w:bdr w:val="none" w:sz="0" w:space="0" w:color="auto"/>
          <w:lang w:val="en-GB" w:eastAsia="en-GB"/>
        </w:rPr>
        <w:t>Nicky Smith:</w:t>
      </w:r>
      <w:r w:rsidRPr="00703132">
        <w:rPr>
          <w:rFonts w:ascii="Calibri" w:eastAsia="Times New Roman" w:hAnsi="Calibri" w:cs="Arial"/>
          <w:sz w:val="22"/>
          <w:szCs w:val="22"/>
          <w:bdr w:val="none" w:sz="0" w:space="0" w:color="auto"/>
          <w:lang w:val="en-GB" w:eastAsia="en-GB"/>
        </w:rPr>
        <w:t xml:space="preserve"> nicky.smith@nexuspr.com/ 0207 052 8850</w:t>
      </w:r>
    </w:p>
    <w:p w:rsidR="00703132" w:rsidRPr="00703132" w:rsidRDefault="00703132" w:rsidP="007031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Arial"/>
          <w:sz w:val="22"/>
          <w:szCs w:val="22"/>
          <w:bdr w:val="none" w:sz="0" w:space="0" w:color="auto"/>
          <w:lang w:val="en-GB" w:eastAsia="en-GB"/>
        </w:rPr>
      </w:pPr>
      <w:r w:rsidRPr="00703132">
        <w:rPr>
          <w:rFonts w:ascii="Calibri" w:eastAsia="Times New Roman" w:hAnsi="Calibri" w:cs="Arial"/>
          <w:b/>
          <w:sz w:val="22"/>
          <w:szCs w:val="22"/>
          <w:bdr w:val="none" w:sz="0" w:space="0" w:color="auto"/>
          <w:lang w:val="en-GB" w:eastAsia="en-GB"/>
        </w:rPr>
        <w:t xml:space="preserve">Isla Haslam: </w:t>
      </w:r>
      <w:r w:rsidRPr="00703132">
        <w:rPr>
          <w:rFonts w:ascii="Calibri" w:eastAsia="Times New Roman" w:hAnsi="Calibri" w:cs="Arial"/>
          <w:sz w:val="22"/>
          <w:szCs w:val="22"/>
          <w:bdr w:val="none" w:sz="0" w:space="0" w:color="auto"/>
          <w:lang w:val="en-GB" w:eastAsia="en-GB"/>
        </w:rPr>
        <w:t>isla.haslam@nexuspr.com / 0207528880,</w:t>
      </w:r>
    </w:p>
    <w:p w:rsidR="00703132" w:rsidRPr="00703132" w:rsidRDefault="00703132" w:rsidP="005E621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sz w:val="22"/>
          <w:szCs w:val="22"/>
          <w:bdr w:val="none" w:sz="0" w:space="0" w:color="auto"/>
        </w:rPr>
      </w:pPr>
      <w:r w:rsidRPr="00703132">
        <w:rPr>
          <w:rFonts w:ascii="Calibri" w:eastAsia="Times New Roman" w:hAnsi="Calibri" w:cs="Arial"/>
          <w:b/>
          <w:sz w:val="22"/>
          <w:szCs w:val="22"/>
          <w:bdr w:val="none" w:sz="0" w:space="0" w:color="auto"/>
          <w:lang w:val="en-GB" w:eastAsia="en-GB"/>
        </w:rPr>
        <w:t>Chanelle Kearey</w:t>
      </w:r>
      <w:r w:rsidRPr="00703132">
        <w:rPr>
          <w:rFonts w:ascii="Calibri" w:eastAsia="Times New Roman" w:hAnsi="Calibri" w:cs="Arial"/>
          <w:sz w:val="22"/>
          <w:szCs w:val="22"/>
          <w:bdr w:val="none" w:sz="0" w:space="0" w:color="auto"/>
          <w:lang w:val="en-GB" w:eastAsia="en-GB"/>
        </w:rPr>
        <w:t xml:space="preserve"> chanelle.kearey@nexuspr.com / 02070528854 or visit </w:t>
      </w:r>
      <w:hyperlink r:id="rId7" w:history="1">
        <w:r w:rsidRPr="00703132">
          <w:rPr>
            <w:rFonts w:ascii="Calibri" w:eastAsia="Times New Roman" w:hAnsi="Calibri" w:cs="Arial"/>
            <w:color w:val="0000FF"/>
            <w:sz w:val="22"/>
            <w:szCs w:val="22"/>
            <w:u w:val="single"/>
            <w:bdr w:val="none" w:sz="0" w:space="0" w:color="auto"/>
            <w:lang w:val="en-GB" w:eastAsia="en-GB"/>
          </w:rPr>
          <w:t>http://www.teaadvisorypanel.com/</w:t>
        </w:r>
      </w:hyperlink>
      <w:r w:rsidRPr="00703132">
        <w:rPr>
          <w:rFonts w:ascii="Calibri" w:eastAsia="Times New Roman" w:hAnsi="Calibri" w:cs="Arial"/>
          <w:sz w:val="22"/>
          <w:szCs w:val="22"/>
          <w:bdr w:val="none" w:sz="0" w:space="0" w:color="auto"/>
          <w:lang w:val="en-GB" w:eastAsia="en-GB"/>
        </w:rPr>
        <w:t xml:space="preserve"> #tap</w:t>
      </w:r>
    </w:p>
    <w:p w:rsidR="00703132" w:rsidRPr="00703132" w:rsidRDefault="00703132" w:rsidP="007031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2"/>
          <w:szCs w:val="22"/>
          <w:bdr w:val="none" w:sz="0" w:space="0" w:color="auto"/>
        </w:rPr>
      </w:pPr>
    </w:p>
    <w:p w:rsidR="00703132" w:rsidRPr="000F00DD" w:rsidRDefault="00703132">
      <w:pPr>
        <w:pStyle w:val="Body"/>
        <w:rPr>
          <w:rFonts w:ascii="Calibri" w:hAnsi="Calibri"/>
        </w:rPr>
      </w:pPr>
    </w:p>
    <w:p w:rsidR="00E0665B" w:rsidRPr="000F00DD" w:rsidRDefault="00E0665B">
      <w:pPr>
        <w:pStyle w:val="Body"/>
        <w:rPr>
          <w:rFonts w:ascii="Calibri" w:hAnsi="Calibri"/>
        </w:rPr>
      </w:pPr>
    </w:p>
    <w:sectPr w:rsidR="00E0665B" w:rsidRPr="000F00DD" w:rsidSect="000F00DD">
      <w:pgSz w:w="11906" w:h="16838"/>
      <w:pgMar w:top="720" w:right="720" w:bottom="720" w:left="720" w:header="709" w:footer="85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49EE">
      <w:r>
        <w:separator/>
      </w:r>
    </w:p>
  </w:endnote>
  <w:endnote w:type="continuationSeparator" w:id="0">
    <w:p w:rsidR="00000000" w:rsidRDefault="00B3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5B" w:rsidRDefault="00B349EE">
      <w:r>
        <w:separator/>
      </w:r>
    </w:p>
  </w:footnote>
  <w:footnote w:type="continuationSeparator" w:id="0">
    <w:p w:rsidR="00E0665B" w:rsidRDefault="00B349EE">
      <w:r>
        <w:continuationSeparator/>
      </w:r>
    </w:p>
  </w:footnote>
  <w:footnote w:type="continuationNotice" w:id="1">
    <w:p w:rsidR="00E0665B" w:rsidRDefault="00E0665B"/>
  </w:footnote>
  <w:footnote w:id="2">
    <w:p w:rsidR="00E0665B" w:rsidRPr="000F00DD" w:rsidRDefault="00B349EE">
      <w:pPr>
        <w:pStyle w:val="Footnote"/>
        <w:rPr>
          <w:rFonts w:ascii="Calibri" w:hAnsi="Calibri"/>
          <w:sz w:val="20"/>
          <w:szCs w:val="20"/>
        </w:rPr>
      </w:pPr>
      <w:r>
        <w:rPr>
          <w:vertAlign w:val="superscript"/>
        </w:rPr>
        <w:footnoteRef/>
      </w:r>
      <w:r>
        <w:rPr>
          <w:rFonts w:eastAsia="Arial Unicode MS" w:hAnsi="Arial Unicode MS" w:cs="Arial Unicode MS"/>
        </w:rPr>
        <w:t xml:space="preserve"> </w:t>
      </w:r>
      <w:hyperlink r:id="rId1" w:history="1">
        <w:r w:rsidRPr="000F00DD">
          <w:rPr>
            <w:rStyle w:val="Hyperlink0"/>
            <w:rFonts w:ascii="Calibri" w:eastAsia="Arial Unicode MS" w:hAnsi="Calibri" w:cs="Arial Unicode MS"/>
            <w:sz w:val="20"/>
            <w:szCs w:val="20"/>
            <w:lang w:val="en-US"/>
          </w:rPr>
          <w:t>http://www.ncbi.nlm.nih.gov/pmc/articles/PMC2676420/</w:t>
        </w:r>
      </w:hyperlink>
    </w:p>
  </w:footnote>
  <w:footnote w:id="3">
    <w:p w:rsidR="00E0665B" w:rsidRPr="000F00DD" w:rsidRDefault="00B349EE">
      <w:pPr>
        <w:pStyle w:val="Footnote"/>
        <w:rPr>
          <w:rFonts w:ascii="Calibri" w:hAnsi="Calibri"/>
          <w:sz w:val="20"/>
          <w:szCs w:val="20"/>
        </w:rPr>
      </w:pPr>
      <w:r w:rsidRPr="000F00DD">
        <w:rPr>
          <w:rFonts w:ascii="Calibri" w:hAnsi="Calibri"/>
          <w:sz w:val="20"/>
          <w:szCs w:val="20"/>
          <w:vertAlign w:val="superscript"/>
        </w:rPr>
        <w:footnoteRef/>
      </w:r>
      <w:r w:rsidRPr="000F00DD">
        <w:rPr>
          <w:rFonts w:ascii="Calibri" w:eastAsia="Arial Unicode MS" w:hAnsi="Calibri" w:cs="Arial Unicode MS"/>
          <w:sz w:val="20"/>
          <w:szCs w:val="20"/>
        </w:rPr>
        <w:t xml:space="preserve"> </w:t>
      </w:r>
      <w:hyperlink r:id="rId2" w:history="1">
        <w:r w:rsidRPr="000F00DD">
          <w:rPr>
            <w:rStyle w:val="Hyperlink0"/>
            <w:rFonts w:ascii="Calibri" w:eastAsia="Arial Unicode MS" w:hAnsi="Calibri" w:cs="Arial Unicode MS"/>
            <w:sz w:val="20"/>
            <w:szCs w:val="20"/>
            <w:lang w:val="en-US"/>
          </w:rPr>
          <w:t>http://www.researchgate.net/publication/275153324_Fluoride</w:t>
        </w:r>
        <w:r w:rsidRPr="000F00DD">
          <w:rPr>
            <w:rStyle w:val="Hyperlink0"/>
            <w:rFonts w:ascii="Calibri" w:eastAsia="Arial Unicode MS" w:hAnsi="Calibri" w:cs="Arial Unicode MS"/>
            <w:sz w:val="20"/>
            <w:szCs w:val="20"/>
            <w:lang w:val="en-US"/>
          </w:rPr>
          <w:t>_content_of_UK_retail_tea_comparisons_between_tea_bags_and_infusions</w:t>
        </w:r>
      </w:hyperlink>
    </w:p>
  </w:footnote>
  <w:footnote w:id="4">
    <w:p w:rsidR="00E0665B" w:rsidRPr="000F00DD" w:rsidRDefault="00B349EE">
      <w:pPr>
        <w:pStyle w:val="Footnote"/>
        <w:rPr>
          <w:rFonts w:ascii="Calibri" w:hAnsi="Calibri"/>
          <w:sz w:val="20"/>
          <w:szCs w:val="20"/>
        </w:rPr>
      </w:pPr>
      <w:r w:rsidRPr="000F00DD">
        <w:rPr>
          <w:rFonts w:ascii="Calibri" w:hAnsi="Calibri"/>
          <w:sz w:val="20"/>
          <w:szCs w:val="20"/>
          <w:vertAlign w:val="superscript"/>
        </w:rPr>
        <w:footnoteRef/>
      </w:r>
      <w:r w:rsidRPr="000F00DD">
        <w:rPr>
          <w:rFonts w:ascii="Calibri" w:eastAsia="Arial Unicode MS" w:hAnsi="Calibri" w:cs="Arial Unicode MS"/>
          <w:sz w:val="20"/>
          <w:szCs w:val="20"/>
        </w:rPr>
        <w:t xml:space="preserve"> </w:t>
      </w:r>
      <w:r w:rsidRPr="000F00DD">
        <w:rPr>
          <w:rFonts w:ascii="Calibri" w:hAnsi="Calibri"/>
          <w:sz w:val="20"/>
          <w:szCs w:val="20"/>
        </w:rPr>
        <w:t>Ruxton, 2009; Mulvihill &amp; Huff, 2010; Dwyer &amp; Peterson, 2013</w:t>
      </w:r>
      <w:r w:rsidRPr="000F00DD">
        <w:rPr>
          <w:rFonts w:ascii="Calibri" w:hAnsi="Calibri"/>
          <w:sz w:val="20"/>
          <w:szCs w:val="20"/>
          <w:lang w:val="en-US"/>
        </w:rPr>
        <w:t>, from Hydration review article</w:t>
      </w:r>
    </w:p>
  </w:footnote>
  <w:footnote w:id="5">
    <w:p w:rsidR="00E0665B" w:rsidRPr="000F00DD" w:rsidRDefault="00B349EE">
      <w:pPr>
        <w:pStyle w:val="Footnote"/>
        <w:rPr>
          <w:rFonts w:ascii="Calibri" w:hAnsi="Calibri"/>
          <w:sz w:val="20"/>
          <w:szCs w:val="20"/>
        </w:rPr>
      </w:pPr>
      <w:r w:rsidRPr="000F00DD">
        <w:rPr>
          <w:rFonts w:ascii="Calibri" w:hAnsi="Calibri"/>
          <w:sz w:val="20"/>
          <w:szCs w:val="20"/>
          <w:vertAlign w:val="superscript"/>
        </w:rPr>
        <w:footnoteRef/>
      </w:r>
      <w:r w:rsidRPr="000F00DD">
        <w:rPr>
          <w:rFonts w:ascii="Calibri" w:eastAsia="Arial Unicode MS" w:hAnsi="Calibri" w:cs="Arial Unicode MS"/>
          <w:sz w:val="20"/>
          <w:szCs w:val="20"/>
        </w:rPr>
        <w:t xml:space="preserve"> </w:t>
      </w:r>
      <w:r w:rsidRPr="000F00DD">
        <w:rPr>
          <w:rFonts w:ascii="Calibri" w:eastAsia="Arial Unicode MS" w:hAnsi="Calibri" w:cs="Arial Unicode MS"/>
          <w:sz w:val="20"/>
          <w:szCs w:val="20"/>
          <w:lang w:val="en-US"/>
        </w:rPr>
        <w:t xml:space="preserve">From hydration review </w:t>
      </w:r>
      <w:r w:rsidRPr="000F00DD">
        <w:rPr>
          <w:rFonts w:ascii="Calibri" w:hAnsi="Calibri"/>
          <w:sz w:val="20"/>
          <w:szCs w:val="20"/>
          <w:lang w:val="es-ES_tradnl"/>
        </w:rPr>
        <w:t xml:space="preserve">Zamora-Ros </w:t>
      </w:r>
      <w:r w:rsidRPr="000F00DD">
        <w:rPr>
          <w:rFonts w:ascii="Calibri" w:hAnsi="Calibri"/>
          <w:i/>
          <w:iCs/>
          <w:sz w:val="20"/>
          <w:szCs w:val="20"/>
          <w:lang w:val="nl-NL"/>
        </w:rPr>
        <w:t>et al.</w:t>
      </w:r>
      <w:r w:rsidRPr="000F00DD">
        <w:rPr>
          <w:rFonts w:ascii="Calibri" w:hAnsi="Calibri"/>
          <w:sz w:val="20"/>
          <w:szCs w:val="20"/>
        </w:rPr>
        <w:t xml:space="preserve"> 2013</w:t>
      </w:r>
    </w:p>
  </w:footnote>
  <w:footnote w:id="6">
    <w:p w:rsidR="00E0665B" w:rsidRPr="000F00DD" w:rsidRDefault="00B349EE">
      <w:pPr>
        <w:pStyle w:val="Footnote"/>
        <w:rPr>
          <w:rFonts w:ascii="Calibri" w:hAnsi="Calibri"/>
          <w:sz w:val="20"/>
          <w:szCs w:val="20"/>
        </w:rPr>
      </w:pPr>
      <w:r w:rsidRPr="000F00DD">
        <w:rPr>
          <w:rFonts w:ascii="Calibri" w:hAnsi="Calibri"/>
          <w:sz w:val="20"/>
          <w:szCs w:val="20"/>
          <w:vertAlign w:val="superscript"/>
        </w:rPr>
        <w:footnoteRef/>
      </w:r>
      <w:r w:rsidRPr="000F00DD">
        <w:rPr>
          <w:rFonts w:ascii="Calibri" w:eastAsia="Arial Unicode MS" w:hAnsi="Calibri" w:cs="Arial Unicode MS"/>
          <w:sz w:val="20"/>
          <w:szCs w:val="20"/>
          <w:lang w:val="en-US"/>
        </w:rPr>
        <w:t xml:space="preserve"> </w:t>
      </w:r>
      <w:r w:rsidRPr="000F00DD">
        <w:rPr>
          <w:rFonts w:ascii="Calibri" w:hAnsi="Calibri"/>
          <w:sz w:val="20"/>
          <w:szCs w:val="20"/>
          <w:lang w:val="en-US"/>
        </w:rPr>
        <w:t>Blumberg, 2013 from hydration review a</w:t>
      </w:r>
      <w:r w:rsidRPr="000F00DD">
        <w:rPr>
          <w:rFonts w:ascii="Calibri" w:hAnsi="Calibri"/>
          <w:sz w:val="20"/>
          <w:szCs w:val="20"/>
          <w:lang w:val="en-US"/>
        </w:rPr>
        <w:t>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41399"/>
    <w:multiLevelType w:val="hybridMultilevel"/>
    <w:tmpl w:val="2B60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5B"/>
    <w:rsid w:val="000F00DD"/>
    <w:rsid w:val="00703132"/>
    <w:rsid w:val="00B349EE"/>
    <w:rsid w:val="00E0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189ED-8F6D-43CB-BE2F-54DBA374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advisorypan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esearchgate.net/publication/275153324_Fluoride_content_of_UK_retail_tea_comparisons_between_tea_bags_and_infusions" TargetMode="External"/><Relationship Id="rId1" Type="http://schemas.openxmlformats.org/officeDocument/2006/relationships/hyperlink" Target="http://www.ncbi.nlm.nih.gov/pmc/articles/PMC267642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Smith</dc:creator>
  <cp:lastModifiedBy>Nicky Smith</cp:lastModifiedBy>
  <cp:revision>2</cp:revision>
  <dcterms:created xsi:type="dcterms:W3CDTF">2015-07-08T08:44:00Z</dcterms:created>
  <dcterms:modified xsi:type="dcterms:W3CDTF">2015-07-08T08:44:00Z</dcterms:modified>
</cp:coreProperties>
</file>