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86B" w:rsidRDefault="0002786B" w:rsidP="00157876">
      <w:pPr>
        <w:jc w:val="center"/>
        <w:rPr>
          <w:rFonts w:asciiTheme="majorHAnsi" w:hAnsiTheme="majorHAnsi"/>
          <w:b/>
          <w:sz w:val="22"/>
          <w:szCs w:val="22"/>
          <w:lang w:val="en-GB"/>
        </w:rPr>
      </w:pPr>
    </w:p>
    <w:p w:rsidR="0002786B" w:rsidRDefault="0002786B" w:rsidP="00157876">
      <w:pPr>
        <w:jc w:val="center"/>
        <w:rPr>
          <w:rFonts w:asciiTheme="majorHAnsi" w:hAnsiTheme="majorHAnsi"/>
          <w:b/>
          <w:sz w:val="22"/>
          <w:szCs w:val="22"/>
          <w:lang w:val="en-GB"/>
        </w:rPr>
      </w:pPr>
    </w:p>
    <w:p w:rsidR="0002786B" w:rsidRDefault="0079601C" w:rsidP="00157876">
      <w:pPr>
        <w:jc w:val="center"/>
        <w:rPr>
          <w:rFonts w:asciiTheme="majorHAnsi" w:hAnsiTheme="majorHAnsi"/>
          <w:b/>
          <w:sz w:val="22"/>
          <w:szCs w:val="22"/>
          <w:lang w:val="en-GB"/>
        </w:rPr>
      </w:pPr>
      <w:r>
        <w:rPr>
          <w:rFonts w:ascii="Arial" w:eastAsia="MS Mincho" w:hAnsi="Arial" w:cs="Arial"/>
          <w:b/>
          <w:noProof/>
          <w:lang w:val="en-GB" w:eastAsia="en-GB"/>
        </w:rPr>
        <w:drawing>
          <wp:inline distT="0" distB="0" distL="0" distR="0" wp14:anchorId="6D45FCD6" wp14:editId="31018CDD">
            <wp:extent cx="1009650" cy="840029"/>
            <wp:effectExtent l="0" t="0" r="0" b="0"/>
            <wp:docPr id="1" name="Picture 1" descr="T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840029"/>
                    </a:xfrm>
                    <a:prstGeom prst="rect">
                      <a:avLst/>
                    </a:prstGeom>
                    <a:noFill/>
                    <a:ln>
                      <a:noFill/>
                    </a:ln>
                  </pic:spPr>
                </pic:pic>
              </a:graphicData>
            </a:graphic>
          </wp:inline>
        </w:drawing>
      </w:r>
    </w:p>
    <w:p w:rsidR="00DD29B8" w:rsidRPr="00DD29B8" w:rsidRDefault="00DD29B8" w:rsidP="00DD29B8">
      <w:pPr>
        <w:rPr>
          <w:rFonts w:asciiTheme="majorHAnsi" w:hAnsiTheme="majorHAnsi"/>
          <w:b/>
          <w:sz w:val="22"/>
          <w:szCs w:val="22"/>
          <w:lang w:val="en-GB"/>
        </w:rPr>
      </w:pPr>
      <w:r>
        <w:rPr>
          <w:rFonts w:asciiTheme="majorHAnsi" w:hAnsiTheme="majorHAnsi"/>
          <w:b/>
          <w:sz w:val="22"/>
          <w:szCs w:val="22"/>
          <w:lang w:val="en-GB"/>
        </w:rPr>
        <w:t>January 2015</w:t>
      </w:r>
    </w:p>
    <w:p w:rsidR="0002786B" w:rsidRDefault="0002786B" w:rsidP="00157876">
      <w:pPr>
        <w:jc w:val="center"/>
        <w:rPr>
          <w:rFonts w:asciiTheme="majorHAnsi" w:hAnsiTheme="majorHAnsi"/>
          <w:b/>
          <w:sz w:val="22"/>
          <w:szCs w:val="22"/>
          <w:lang w:val="en-GB"/>
        </w:rPr>
      </w:pPr>
    </w:p>
    <w:p w:rsidR="007F06FE" w:rsidRPr="00157876" w:rsidRDefault="00157876" w:rsidP="00157876">
      <w:pPr>
        <w:jc w:val="center"/>
        <w:rPr>
          <w:rFonts w:asciiTheme="majorHAnsi" w:hAnsiTheme="majorHAnsi"/>
          <w:sz w:val="22"/>
          <w:szCs w:val="22"/>
        </w:rPr>
      </w:pPr>
      <w:r>
        <w:rPr>
          <w:rFonts w:asciiTheme="majorHAnsi" w:hAnsiTheme="majorHAnsi"/>
          <w:b/>
          <w:sz w:val="22"/>
          <w:szCs w:val="22"/>
          <w:lang w:val="en-GB"/>
        </w:rPr>
        <w:t xml:space="preserve">SORTING FACT FROM FICTION: </w:t>
      </w:r>
      <w:r w:rsidR="007F06FE" w:rsidRPr="00157876">
        <w:rPr>
          <w:rFonts w:asciiTheme="majorHAnsi" w:hAnsiTheme="majorHAnsi"/>
          <w:b/>
          <w:sz w:val="22"/>
          <w:szCs w:val="22"/>
          <w:lang w:val="en-GB"/>
        </w:rPr>
        <w:t xml:space="preserve">Fluoride in tea </w:t>
      </w:r>
      <w:r w:rsidR="00A909A4">
        <w:rPr>
          <w:rFonts w:asciiTheme="majorHAnsi" w:hAnsiTheme="majorHAnsi"/>
          <w:b/>
          <w:sz w:val="22"/>
          <w:szCs w:val="22"/>
          <w:lang w:val="en-GB"/>
        </w:rPr>
        <w:t xml:space="preserve">is </w:t>
      </w:r>
      <w:r>
        <w:rPr>
          <w:rFonts w:asciiTheme="majorHAnsi" w:hAnsiTheme="majorHAnsi"/>
          <w:b/>
          <w:sz w:val="22"/>
          <w:szCs w:val="22"/>
          <w:lang w:val="en-GB"/>
        </w:rPr>
        <w:t>good for you</w:t>
      </w:r>
    </w:p>
    <w:p w:rsidR="007F06FE" w:rsidRPr="00157876" w:rsidRDefault="007F06FE" w:rsidP="007F06FE">
      <w:pPr>
        <w:rPr>
          <w:rFonts w:asciiTheme="majorHAnsi" w:hAnsiTheme="majorHAnsi"/>
          <w:sz w:val="22"/>
          <w:szCs w:val="22"/>
          <w:lang w:val="en-GB"/>
        </w:rPr>
      </w:pPr>
      <w:r w:rsidRPr="00157876">
        <w:rPr>
          <w:rFonts w:asciiTheme="majorHAnsi" w:hAnsiTheme="majorHAnsi"/>
          <w:sz w:val="22"/>
          <w:szCs w:val="22"/>
          <w:lang w:val="en-GB"/>
        </w:rPr>
        <w:t xml:space="preserve">Current tea consumption is unlikely to provide fluoride intakes that exceed safe limits for adults and children according to a new study </w:t>
      </w:r>
      <w:r w:rsidRPr="00157876">
        <w:rPr>
          <w:rStyle w:val="FootnoteReference"/>
          <w:rFonts w:asciiTheme="majorHAnsi" w:hAnsiTheme="majorHAnsi"/>
          <w:sz w:val="22"/>
          <w:szCs w:val="22"/>
          <w:lang w:val="en-GB"/>
        </w:rPr>
        <w:footnoteReference w:id="1"/>
      </w:r>
      <w:r w:rsidRPr="00157876">
        <w:rPr>
          <w:rFonts w:asciiTheme="majorHAnsi" w:hAnsiTheme="majorHAnsi"/>
          <w:sz w:val="22"/>
          <w:szCs w:val="22"/>
          <w:lang w:val="en-GB"/>
        </w:rPr>
        <w:t xml:space="preserve"> </w:t>
      </w:r>
      <w:r w:rsidR="00E87314">
        <w:rPr>
          <w:rFonts w:asciiTheme="majorHAnsi" w:hAnsiTheme="majorHAnsi"/>
          <w:sz w:val="22"/>
          <w:szCs w:val="22"/>
          <w:lang w:val="en-GB"/>
        </w:rPr>
        <w:t xml:space="preserve">just </w:t>
      </w:r>
      <w:r w:rsidRPr="00157876">
        <w:rPr>
          <w:rFonts w:asciiTheme="majorHAnsi" w:hAnsiTheme="majorHAnsi"/>
          <w:sz w:val="22"/>
          <w:szCs w:val="22"/>
          <w:lang w:val="en-GB"/>
        </w:rPr>
        <w:t>presented to the Nutrition Society by Dr Carrie Ruxton, independent public health nutritionist.</w:t>
      </w:r>
    </w:p>
    <w:p w:rsidR="007F06FE" w:rsidRPr="00157876" w:rsidRDefault="007F06FE" w:rsidP="007F06FE">
      <w:pPr>
        <w:rPr>
          <w:rFonts w:asciiTheme="majorHAnsi" w:hAnsiTheme="majorHAnsi"/>
          <w:sz w:val="22"/>
          <w:szCs w:val="22"/>
        </w:rPr>
      </w:pPr>
    </w:p>
    <w:p w:rsidR="007F06FE" w:rsidRPr="00157876" w:rsidRDefault="00157876" w:rsidP="007F06FE">
      <w:pPr>
        <w:rPr>
          <w:rFonts w:asciiTheme="majorHAnsi" w:hAnsiTheme="majorHAnsi"/>
          <w:sz w:val="22"/>
          <w:szCs w:val="22"/>
        </w:rPr>
      </w:pPr>
      <w:r>
        <w:rPr>
          <w:rFonts w:asciiTheme="majorHAnsi" w:hAnsiTheme="majorHAnsi"/>
          <w:sz w:val="22"/>
          <w:szCs w:val="22"/>
        </w:rPr>
        <w:t>Commenting on the research study, author and member of the Tea Advisory Panel</w:t>
      </w:r>
      <w:r w:rsidR="00A909A4">
        <w:rPr>
          <w:rFonts w:asciiTheme="majorHAnsi" w:hAnsiTheme="majorHAnsi"/>
          <w:sz w:val="22"/>
          <w:szCs w:val="22"/>
        </w:rPr>
        <w:t xml:space="preserve"> (TAP)</w:t>
      </w:r>
      <w:r>
        <w:rPr>
          <w:rFonts w:asciiTheme="majorHAnsi" w:hAnsiTheme="majorHAnsi"/>
          <w:sz w:val="22"/>
          <w:szCs w:val="22"/>
        </w:rPr>
        <w:t>, Dr Carrie Ruxton notes: “C</w:t>
      </w:r>
      <w:r w:rsidR="007F06FE" w:rsidRPr="00157876">
        <w:rPr>
          <w:rFonts w:asciiTheme="majorHAnsi" w:hAnsiTheme="majorHAnsi"/>
          <w:sz w:val="22"/>
          <w:szCs w:val="22"/>
        </w:rPr>
        <w:t>urrent tea intakes do not provide enough fluoride to meet the Recommended Daily Amount (RDA) for this mineral, and the potential dental health benefits of fluoride cannot be accessed unless tea consumption increases to 3-4 servings/day from the current intake of 1-2 servings a day.</w:t>
      </w:r>
    </w:p>
    <w:p w:rsidR="007F06FE" w:rsidRPr="00157876" w:rsidRDefault="007F06FE" w:rsidP="007F06FE">
      <w:pPr>
        <w:rPr>
          <w:rFonts w:asciiTheme="majorHAnsi" w:hAnsiTheme="majorHAnsi"/>
          <w:sz w:val="22"/>
          <w:szCs w:val="22"/>
        </w:rPr>
      </w:pPr>
    </w:p>
    <w:p w:rsidR="009E2BE6" w:rsidRPr="00157876" w:rsidRDefault="00157876" w:rsidP="007F06FE">
      <w:pPr>
        <w:rPr>
          <w:rFonts w:asciiTheme="majorHAnsi" w:hAnsiTheme="majorHAnsi"/>
          <w:sz w:val="22"/>
          <w:szCs w:val="22"/>
        </w:rPr>
      </w:pPr>
      <w:r>
        <w:rPr>
          <w:rFonts w:asciiTheme="majorHAnsi" w:hAnsiTheme="majorHAnsi"/>
          <w:sz w:val="22"/>
          <w:szCs w:val="22"/>
        </w:rPr>
        <w:t>“</w:t>
      </w:r>
      <w:r w:rsidR="00A67472" w:rsidRPr="00157876">
        <w:rPr>
          <w:rFonts w:asciiTheme="majorHAnsi" w:hAnsiTheme="majorHAnsi"/>
          <w:sz w:val="22"/>
          <w:szCs w:val="22"/>
        </w:rPr>
        <w:t>This latest study helps to put the record straight in the context of a 2013 study that measured the fluoride content of 38 tea bags and concluded that economy versions of tea represen</w:t>
      </w:r>
      <w:r w:rsidR="009E2BE6" w:rsidRPr="00157876">
        <w:rPr>
          <w:rFonts w:asciiTheme="majorHAnsi" w:hAnsiTheme="majorHAnsi"/>
          <w:sz w:val="22"/>
          <w:szCs w:val="22"/>
        </w:rPr>
        <w:t>ted a risk to dental and skeletal health.</w:t>
      </w:r>
      <w:r w:rsidR="00A67472" w:rsidRPr="00157876">
        <w:rPr>
          <w:rFonts w:asciiTheme="majorHAnsi" w:hAnsiTheme="majorHAnsi"/>
          <w:sz w:val="22"/>
          <w:szCs w:val="22"/>
        </w:rPr>
        <w:t xml:space="preserve"> </w:t>
      </w:r>
      <w:r w:rsidR="00A67472" w:rsidRPr="00157876">
        <w:rPr>
          <w:rStyle w:val="FootnoteReference"/>
          <w:rFonts w:asciiTheme="majorHAnsi" w:hAnsiTheme="majorHAnsi"/>
          <w:sz w:val="22"/>
          <w:szCs w:val="22"/>
        </w:rPr>
        <w:footnoteReference w:id="2"/>
      </w:r>
      <w:r w:rsidR="009E2BE6" w:rsidRPr="00157876">
        <w:rPr>
          <w:rFonts w:asciiTheme="majorHAnsi" w:hAnsiTheme="majorHAnsi"/>
          <w:sz w:val="22"/>
          <w:szCs w:val="22"/>
        </w:rPr>
        <w:t xml:space="preserve"> These conclusions were somewhat surprising given that o</w:t>
      </w:r>
      <w:r w:rsidR="007F06FE" w:rsidRPr="00157876">
        <w:rPr>
          <w:rFonts w:asciiTheme="majorHAnsi" w:hAnsiTheme="majorHAnsi"/>
          <w:sz w:val="22"/>
          <w:szCs w:val="22"/>
        </w:rPr>
        <w:t>fficial bodies view fluoride as a means to deliver dental health benefits when recommended amounts are consumed.  Public Health England (PHE)</w:t>
      </w:r>
      <w:r w:rsidR="009E2BE6" w:rsidRPr="00157876">
        <w:rPr>
          <w:rFonts w:asciiTheme="majorHAnsi" w:hAnsiTheme="majorHAnsi"/>
          <w:sz w:val="22"/>
          <w:szCs w:val="22"/>
        </w:rPr>
        <w:t>,</w:t>
      </w:r>
      <w:r w:rsidR="007F06FE" w:rsidRPr="00157876">
        <w:rPr>
          <w:rFonts w:asciiTheme="majorHAnsi" w:hAnsiTheme="majorHAnsi"/>
          <w:sz w:val="22"/>
          <w:szCs w:val="22"/>
        </w:rPr>
        <w:t xml:space="preserve"> for example</w:t>
      </w:r>
      <w:r w:rsidR="009E2BE6" w:rsidRPr="00157876">
        <w:rPr>
          <w:rFonts w:asciiTheme="majorHAnsi" w:hAnsiTheme="majorHAnsi"/>
          <w:sz w:val="22"/>
          <w:szCs w:val="22"/>
        </w:rPr>
        <w:t>,</w:t>
      </w:r>
      <w:r w:rsidR="007F06FE" w:rsidRPr="00157876">
        <w:rPr>
          <w:rFonts w:asciiTheme="majorHAnsi" w:hAnsiTheme="majorHAnsi"/>
          <w:sz w:val="22"/>
          <w:szCs w:val="22"/>
        </w:rPr>
        <w:t xml:space="preserve"> is clear about the benefits of water fluoridation and recommends that the practice is extended.</w:t>
      </w:r>
      <w:r w:rsidR="00A909A4">
        <w:rPr>
          <w:rFonts w:asciiTheme="majorHAnsi" w:hAnsiTheme="majorHAnsi"/>
          <w:sz w:val="22"/>
          <w:szCs w:val="22"/>
        </w:rPr>
        <w:t>”</w:t>
      </w:r>
    </w:p>
    <w:p w:rsidR="009E2BE6" w:rsidRPr="00157876" w:rsidRDefault="009E2BE6" w:rsidP="007F06FE">
      <w:pPr>
        <w:rPr>
          <w:rFonts w:asciiTheme="majorHAnsi" w:hAnsiTheme="majorHAnsi"/>
          <w:sz w:val="22"/>
          <w:szCs w:val="22"/>
        </w:rPr>
      </w:pPr>
    </w:p>
    <w:p w:rsidR="009E2BE6" w:rsidRPr="00157876" w:rsidRDefault="00A909A4" w:rsidP="009E2BE6">
      <w:pPr>
        <w:rPr>
          <w:rFonts w:asciiTheme="majorHAnsi" w:hAnsiTheme="majorHAnsi"/>
          <w:sz w:val="22"/>
          <w:szCs w:val="22"/>
          <w:lang w:val="en-GB"/>
        </w:rPr>
      </w:pPr>
      <w:r>
        <w:rPr>
          <w:rFonts w:asciiTheme="majorHAnsi" w:hAnsiTheme="majorHAnsi"/>
          <w:sz w:val="22"/>
          <w:szCs w:val="22"/>
        </w:rPr>
        <w:t xml:space="preserve">Dr Tim Bond from TAP </w:t>
      </w:r>
      <w:proofErr w:type="gramStart"/>
      <w:r>
        <w:rPr>
          <w:rFonts w:asciiTheme="majorHAnsi" w:hAnsiTheme="majorHAnsi"/>
          <w:sz w:val="22"/>
          <w:szCs w:val="22"/>
        </w:rPr>
        <w:t>adds</w:t>
      </w:r>
      <w:proofErr w:type="gramEnd"/>
      <w:r>
        <w:rPr>
          <w:rFonts w:asciiTheme="majorHAnsi" w:hAnsiTheme="majorHAnsi"/>
          <w:sz w:val="22"/>
          <w:szCs w:val="22"/>
        </w:rPr>
        <w:t xml:space="preserve">: </w:t>
      </w:r>
      <w:r w:rsidR="00157876">
        <w:rPr>
          <w:rFonts w:asciiTheme="majorHAnsi" w:hAnsiTheme="majorHAnsi"/>
          <w:sz w:val="22"/>
          <w:szCs w:val="22"/>
        </w:rPr>
        <w:t>“</w:t>
      </w:r>
      <w:r w:rsidR="009E2BE6" w:rsidRPr="00157876">
        <w:rPr>
          <w:rFonts w:asciiTheme="majorHAnsi" w:hAnsiTheme="majorHAnsi"/>
          <w:sz w:val="22"/>
          <w:szCs w:val="22"/>
        </w:rPr>
        <w:t xml:space="preserve">The 2013 study was also flawed in several respects. Firstly, tea was brewed </w:t>
      </w:r>
      <w:r w:rsidR="009E2BE6" w:rsidRPr="00157876">
        <w:rPr>
          <w:rFonts w:asciiTheme="majorHAnsi" w:hAnsiTheme="majorHAnsi"/>
          <w:sz w:val="22"/>
          <w:szCs w:val="22"/>
          <w:lang w:val="en-GB"/>
        </w:rPr>
        <w:t xml:space="preserve">for 2 minutes – longer than the typical brewing time of 30-40 seconds. Secondly, 2g of dry tea was added to 100ml of water making the infusion more concentrated that a typical tea bag in a cup or mug. Thirdly, the study compared the fluoride intake with the US Dietary Reference Intake rather than the EU Safe Upper Level. </w:t>
      </w:r>
    </w:p>
    <w:p w:rsidR="009E2BE6" w:rsidRPr="00157876" w:rsidRDefault="009E2BE6" w:rsidP="009E2BE6">
      <w:pPr>
        <w:rPr>
          <w:rFonts w:asciiTheme="majorHAnsi" w:hAnsiTheme="majorHAnsi"/>
          <w:sz w:val="22"/>
          <w:szCs w:val="22"/>
          <w:lang w:val="en-GB"/>
        </w:rPr>
      </w:pPr>
    </w:p>
    <w:p w:rsidR="009E2BE6" w:rsidRPr="00157876" w:rsidRDefault="00157876" w:rsidP="009E2BE6">
      <w:pPr>
        <w:rPr>
          <w:rFonts w:asciiTheme="majorHAnsi" w:hAnsiTheme="majorHAnsi"/>
          <w:sz w:val="22"/>
          <w:szCs w:val="22"/>
          <w:lang w:val="en-GB"/>
        </w:rPr>
      </w:pPr>
      <w:r>
        <w:rPr>
          <w:rFonts w:asciiTheme="majorHAnsi" w:hAnsiTheme="majorHAnsi"/>
          <w:sz w:val="22"/>
          <w:szCs w:val="22"/>
          <w:lang w:val="en-GB"/>
        </w:rPr>
        <w:t>“</w:t>
      </w:r>
      <w:r w:rsidR="009E2BE6" w:rsidRPr="00157876">
        <w:rPr>
          <w:rFonts w:asciiTheme="majorHAnsi" w:hAnsiTheme="majorHAnsi"/>
          <w:sz w:val="22"/>
          <w:szCs w:val="22"/>
          <w:lang w:val="en-GB"/>
        </w:rPr>
        <w:t xml:space="preserve">This latest study replicated the situation of a typical cup or mug of tea in that a single tea bag was added to 240ml of boiling </w:t>
      </w:r>
      <w:r w:rsidR="00C601C2" w:rsidRPr="00157876">
        <w:rPr>
          <w:rFonts w:asciiTheme="majorHAnsi" w:hAnsiTheme="majorHAnsi"/>
          <w:sz w:val="22"/>
          <w:szCs w:val="22"/>
          <w:lang w:val="en-GB"/>
        </w:rPr>
        <w:t>water and brewed for 40 seconds.</w:t>
      </w:r>
      <w:r w:rsidR="00DE14FB" w:rsidRPr="00157876">
        <w:rPr>
          <w:rFonts w:asciiTheme="majorHAnsi" w:hAnsiTheme="majorHAnsi"/>
          <w:sz w:val="22"/>
          <w:szCs w:val="22"/>
          <w:lang w:val="en-GB"/>
        </w:rPr>
        <w:t xml:space="preserve"> Tea bags from 49 retail brands were analysed.</w:t>
      </w:r>
    </w:p>
    <w:p w:rsidR="00DE14FB" w:rsidRPr="00157876" w:rsidRDefault="00DE14FB" w:rsidP="009E2BE6">
      <w:pPr>
        <w:rPr>
          <w:rFonts w:asciiTheme="majorHAnsi" w:hAnsiTheme="majorHAnsi"/>
          <w:sz w:val="22"/>
          <w:szCs w:val="22"/>
          <w:lang w:val="en-GB"/>
        </w:rPr>
      </w:pPr>
    </w:p>
    <w:p w:rsidR="00DE14FB" w:rsidRDefault="00157876" w:rsidP="009E2BE6">
      <w:pPr>
        <w:rPr>
          <w:rFonts w:asciiTheme="majorHAnsi" w:hAnsiTheme="majorHAnsi"/>
          <w:sz w:val="22"/>
          <w:szCs w:val="22"/>
          <w:lang w:val="en-GB"/>
        </w:rPr>
      </w:pPr>
      <w:r>
        <w:rPr>
          <w:rFonts w:asciiTheme="majorHAnsi" w:hAnsiTheme="majorHAnsi"/>
          <w:sz w:val="22"/>
          <w:szCs w:val="22"/>
          <w:lang w:val="en-GB"/>
        </w:rPr>
        <w:t>“</w:t>
      </w:r>
      <w:r w:rsidR="00DE14FB" w:rsidRPr="00157876">
        <w:rPr>
          <w:rFonts w:asciiTheme="majorHAnsi" w:hAnsiTheme="majorHAnsi"/>
          <w:sz w:val="22"/>
          <w:szCs w:val="22"/>
          <w:lang w:val="en-GB"/>
        </w:rPr>
        <w:t>Average fluoride content of black blended tea in this study was 4.91mg/litre and similar to the findings of the 2013 study.</w:t>
      </w:r>
      <w:r w:rsidR="00506EB2" w:rsidRPr="00157876">
        <w:rPr>
          <w:rFonts w:asciiTheme="majorHAnsi" w:hAnsiTheme="majorHAnsi"/>
          <w:sz w:val="22"/>
          <w:szCs w:val="22"/>
          <w:lang w:val="en-GB"/>
        </w:rPr>
        <w:t xml:space="preserve"> However, according to the 2014 NDNS figures, average tea consumption in the UK is 395ml daily and intakes at the </w:t>
      </w:r>
      <w:r w:rsidR="0002786B">
        <w:rPr>
          <w:rFonts w:asciiTheme="majorHAnsi" w:hAnsiTheme="majorHAnsi"/>
          <w:sz w:val="22"/>
          <w:szCs w:val="22"/>
          <w:lang w:val="en-GB"/>
        </w:rPr>
        <w:t xml:space="preserve">safe upper </w:t>
      </w:r>
      <w:r w:rsidR="00506EB2" w:rsidRPr="00157876">
        <w:rPr>
          <w:rFonts w:asciiTheme="majorHAnsi" w:hAnsiTheme="majorHAnsi"/>
          <w:sz w:val="22"/>
          <w:szCs w:val="22"/>
          <w:lang w:val="en-GB"/>
        </w:rPr>
        <w:t xml:space="preserve">level of intake are 1155ml daily. Fluoride intakes from tea (which is estimated to provide 70% of the UK’s fluoride intake) will likely be lower than the </w:t>
      </w:r>
      <w:r w:rsidR="0002786B">
        <w:rPr>
          <w:rFonts w:asciiTheme="majorHAnsi" w:hAnsiTheme="majorHAnsi"/>
          <w:sz w:val="22"/>
          <w:szCs w:val="22"/>
          <w:lang w:val="en-GB"/>
        </w:rPr>
        <w:t xml:space="preserve">safe upper </w:t>
      </w:r>
      <w:r w:rsidR="00506EB2" w:rsidRPr="00157876">
        <w:rPr>
          <w:rFonts w:asciiTheme="majorHAnsi" w:hAnsiTheme="majorHAnsi"/>
          <w:sz w:val="22"/>
          <w:szCs w:val="22"/>
          <w:lang w:val="en-GB"/>
        </w:rPr>
        <w:t>level of 7mg daily (5mg in children) even among those people with intakes of tea at the higher end of the population.  Moreover, this latest study shows that current average intakes of tea do not provide the RDA for fluoride suggesting that tea intake should increase to access the benefits of fluoride for dental health.</w:t>
      </w:r>
      <w:r>
        <w:rPr>
          <w:rFonts w:asciiTheme="majorHAnsi" w:hAnsiTheme="majorHAnsi"/>
          <w:sz w:val="22"/>
          <w:szCs w:val="22"/>
          <w:lang w:val="en-GB"/>
        </w:rPr>
        <w:t>”</w:t>
      </w:r>
    </w:p>
    <w:p w:rsidR="00157876" w:rsidRDefault="00157876" w:rsidP="00157876">
      <w:pPr>
        <w:jc w:val="center"/>
        <w:rPr>
          <w:rFonts w:asciiTheme="majorHAnsi" w:hAnsiTheme="majorHAnsi"/>
          <w:sz w:val="22"/>
          <w:szCs w:val="22"/>
          <w:lang w:val="en-GB"/>
        </w:rPr>
      </w:pPr>
      <w:r>
        <w:rPr>
          <w:rFonts w:asciiTheme="majorHAnsi" w:hAnsiTheme="majorHAnsi"/>
          <w:sz w:val="22"/>
          <w:szCs w:val="22"/>
          <w:lang w:val="en-GB"/>
        </w:rPr>
        <w:t>-</w:t>
      </w:r>
      <w:proofErr w:type="gramStart"/>
      <w:r>
        <w:rPr>
          <w:rFonts w:asciiTheme="majorHAnsi" w:hAnsiTheme="majorHAnsi"/>
          <w:sz w:val="22"/>
          <w:szCs w:val="22"/>
          <w:lang w:val="en-GB"/>
        </w:rPr>
        <w:t>ends</w:t>
      </w:r>
      <w:proofErr w:type="gramEnd"/>
      <w:r>
        <w:rPr>
          <w:rFonts w:asciiTheme="majorHAnsi" w:hAnsiTheme="majorHAnsi"/>
          <w:sz w:val="22"/>
          <w:szCs w:val="22"/>
          <w:lang w:val="en-GB"/>
        </w:rPr>
        <w:t>-</w:t>
      </w:r>
    </w:p>
    <w:p w:rsidR="00157876" w:rsidRDefault="00157876" w:rsidP="00157876">
      <w:pPr>
        <w:jc w:val="center"/>
        <w:rPr>
          <w:rFonts w:asciiTheme="majorHAnsi" w:hAnsiTheme="majorHAnsi"/>
          <w:sz w:val="22"/>
          <w:szCs w:val="22"/>
          <w:lang w:val="en-GB"/>
        </w:rPr>
      </w:pPr>
    </w:p>
    <w:p w:rsidR="00157876" w:rsidRPr="00A865DC" w:rsidRDefault="00157876" w:rsidP="00157876">
      <w:pPr>
        <w:jc w:val="center"/>
        <w:rPr>
          <w:rFonts w:ascii="Calibri" w:eastAsia="Times New Roman" w:hAnsi="Calibri" w:cs="Calibri"/>
          <w:lang w:val="en-GB" w:eastAsia="en-GB"/>
        </w:rPr>
      </w:pPr>
    </w:p>
    <w:p w:rsidR="00157876" w:rsidRPr="00A865DC" w:rsidRDefault="00157876" w:rsidP="00157876">
      <w:pPr>
        <w:pBdr>
          <w:top w:val="single" w:sz="4" w:space="1" w:color="auto"/>
          <w:left w:val="single" w:sz="4" w:space="4" w:color="auto"/>
          <w:bottom w:val="single" w:sz="4" w:space="1" w:color="auto"/>
          <w:right w:val="single" w:sz="4" w:space="4" w:color="auto"/>
        </w:pBdr>
        <w:rPr>
          <w:rFonts w:ascii="Calibri" w:eastAsia="Times New Roman" w:hAnsi="Calibri" w:cs="Times New Roman"/>
          <w:sz w:val="22"/>
          <w:szCs w:val="20"/>
          <w:lang w:val="en-GB" w:eastAsia="en-GB"/>
        </w:rPr>
      </w:pPr>
      <w:r w:rsidRPr="00A865DC">
        <w:rPr>
          <w:rFonts w:ascii="Calibri" w:eastAsia="Times New Roman" w:hAnsi="Calibri" w:cs="Arial"/>
          <w:b/>
          <w:sz w:val="22"/>
          <w:szCs w:val="20"/>
          <w:lang w:val="en-GB" w:eastAsia="en-GB"/>
        </w:rPr>
        <w:t xml:space="preserve">The Tea Advisory Panel: </w:t>
      </w:r>
      <w:r w:rsidRPr="00A865DC">
        <w:rPr>
          <w:rFonts w:ascii="Calibri" w:eastAsia="Times New Roman" w:hAnsi="Calibri" w:cs="Arial"/>
          <w:color w:val="000000"/>
          <w:sz w:val="22"/>
          <w:szCs w:val="20"/>
          <w:lang w:val="en-GB" w:eastAsia="en-GB"/>
        </w:rPr>
        <w:t xml:space="preserve">The Tea Advisory Panel is supported by an unrestricted educational grant from the </w:t>
      </w:r>
      <w:r w:rsidRPr="00A865DC">
        <w:rPr>
          <w:rFonts w:ascii="Calibri" w:eastAsia="Times New Roman" w:hAnsi="Calibri" w:cs="Arial"/>
          <w:b/>
          <w:color w:val="000000"/>
          <w:sz w:val="22"/>
          <w:szCs w:val="20"/>
          <w:lang w:val="en-GB" w:eastAsia="en-GB"/>
        </w:rPr>
        <w:t>UK TEA COUNCIL</w:t>
      </w:r>
      <w:r w:rsidRPr="00A865DC">
        <w:rPr>
          <w:rFonts w:ascii="Calibri" w:eastAsia="Times New Roman" w:hAnsi="Calibri" w:cs="Arial"/>
          <w:color w:val="000000"/>
          <w:sz w:val="22"/>
          <w:szCs w:val="20"/>
          <w:lang w:val="en-GB" w:eastAsia="en-GB"/>
        </w:rPr>
        <w:t xml:space="preserve">, the trade association for the UK tea industry. The Panel has been created to provide media with impartial information regarding the health benefits of tea. Panel members include nutritionists; dieticians and doctors.  For further information please </w:t>
      </w:r>
      <w:r w:rsidRPr="00A865DC">
        <w:rPr>
          <w:rFonts w:ascii="Calibri" w:eastAsia="Times New Roman" w:hAnsi="Calibri" w:cs="Arial"/>
          <w:sz w:val="22"/>
          <w:szCs w:val="20"/>
          <w:lang w:val="en-GB" w:eastAsia="en-GB"/>
        </w:rPr>
        <w:t xml:space="preserve">call </w:t>
      </w:r>
      <w:r w:rsidRPr="00A865DC">
        <w:rPr>
          <w:rFonts w:ascii="Calibri" w:eastAsia="Times New Roman" w:hAnsi="Calibri" w:cs="Arial"/>
          <w:b/>
          <w:sz w:val="22"/>
          <w:szCs w:val="20"/>
          <w:lang w:val="en-GB" w:eastAsia="en-GB"/>
        </w:rPr>
        <w:t>0207 7052 8989.</w:t>
      </w:r>
    </w:p>
    <w:p w:rsidR="00157876" w:rsidRPr="00A865DC" w:rsidRDefault="00157876" w:rsidP="00157876">
      <w:pPr>
        <w:autoSpaceDE w:val="0"/>
        <w:autoSpaceDN w:val="0"/>
        <w:adjustRightInd w:val="0"/>
        <w:rPr>
          <w:rFonts w:ascii="TTE25B29B8t00" w:eastAsia="Times New Roman" w:hAnsi="TTE25B29B8t00" w:cs="TTE25B29B8t00"/>
          <w:sz w:val="22"/>
          <w:szCs w:val="20"/>
          <w:lang w:val="en-GB" w:eastAsia="en-GB"/>
        </w:rPr>
      </w:pPr>
    </w:p>
    <w:p w:rsidR="0002786B" w:rsidRPr="0002786B" w:rsidRDefault="0002786B" w:rsidP="0002786B">
      <w:pPr>
        <w:spacing w:after="120"/>
        <w:rPr>
          <w:rFonts w:asciiTheme="majorHAnsi" w:eastAsia="Calibri" w:hAnsiTheme="majorHAnsi" w:cs="Arial"/>
          <w:sz w:val="20"/>
          <w:szCs w:val="20"/>
          <w:lang w:val="en-GB"/>
        </w:rPr>
      </w:pPr>
      <w:r w:rsidRPr="0002786B">
        <w:rPr>
          <w:rFonts w:asciiTheme="majorHAnsi" w:eastAsia="Calibri" w:hAnsiTheme="majorHAnsi" w:cs="Arial"/>
          <w:b/>
          <w:sz w:val="20"/>
          <w:szCs w:val="20"/>
          <w:lang w:val="en-GB"/>
        </w:rPr>
        <w:t>Table One</w:t>
      </w:r>
      <w:r w:rsidRPr="0002786B">
        <w:rPr>
          <w:rFonts w:asciiTheme="majorHAnsi" w:eastAsia="Calibri" w:hAnsiTheme="majorHAnsi" w:cs="Arial"/>
          <w:sz w:val="20"/>
          <w:szCs w:val="20"/>
          <w:lang w:val="en-GB"/>
        </w:rPr>
        <w:t>: Fluoride recommendations</w:t>
      </w:r>
    </w:p>
    <w:tbl>
      <w:tblPr>
        <w:tblStyle w:val="TableGrid"/>
        <w:tblW w:w="0" w:type="auto"/>
        <w:tblLook w:val="04A0" w:firstRow="1" w:lastRow="0" w:firstColumn="1" w:lastColumn="0" w:noHBand="0" w:noVBand="1"/>
      </w:tblPr>
      <w:tblGrid>
        <w:gridCol w:w="2500"/>
        <w:gridCol w:w="2366"/>
      </w:tblGrid>
      <w:tr w:rsidR="0002786B" w:rsidRPr="0002786B" w:rsidTr="00CF7453">
        <w:tc>
          <w:tcPr>
            <w:tcW w:w="4621" w:type="dxa"/>
          </w:tcPr>
          <w:p w:rsidR="0002786B" w:rsidRPr="0002786B" w:rsidRDefault="0002786B" w:rsidP="0002786B">
            <w:pPr>
              <w:spacing w:after="120"/>
              <w:rPr>
                <w:rFonts w:asciiTheme="majorHAnsi" w:hAnsiTheme="majorHAnsi" w:cs="Arial"/>
                <w:sz w:val="20"/>
                <w:szCs w:val="20"/>
              </w:rPr>
            </w:pPr>
            <w:r w:rsidRPr="0002786B">
              <w:rPr>
                <w:rFonts w:asciiTheme="majorHAnsi" w:hAnsiTheme="majorHAnsi" w:cs="Arial"/>
                <w:sz w:val="20"/>
                <w:szCs w:val="20"/>
              </w:rPr>
              <w:t>Adequate Intakes (UK</w:t>
            </w:r>
            <w:r w:rsidRPr="0002786B">
              <w:rPr>
                <w:rFonts w:asciiTheme="majorHAnsi" w:hAnsiTheme="majorHAnsi" w:cs="Arial"/>
                <w:sz w:val="20"/>
                <w:szCs w:val="20"/>
                <w:vertAlign w:val="superscript"/>
              </w:rPr>
              <w:endnoteReference w:id="1"/>
            </w:r>
            <w:r w:rsidRPr="0002786B">
              <w:rPr>
                <w:rFonts w:asciiTheme="majorHAnsi" w:hAnsiTheme="majorHAnsi" w:cs="Arial"/>
                <w:sz w:val="20"/>
                <w:szCs w:val="20"/>
              </w:rPr>
              <w:t xml:space="preserve"> and EU</w:t>
            </w:r>
            <w:r w:rsidRPr="0002786B">
              <w:rPr>
                <w:rFonts w:asciiTheme="majorHAnsi" w:hAnsiTheme="majorHAnsi" w:cs="Arial"/>
                <w:sz w:val="20"/>
                <w:szCs w:val="20"/>
                <w:vertAlign w:val="superscript"/>
              </w:rPr>
              <w:endnoteReference w:id="2"/>
            </w:r>
            <w:r w:rsidRPr="0002786B">
              <w:rPr>
                <w:rFonts w:asciiTheme="majorHAnsi" w:hAnsiTheme="majorHAnsi" w:cs="Arial"/>
                <w:sz w:val="20"/>
                <w:szCs w:val="20"/>
              </w:rPr>
              <w:t>)</w:t>
            </w:r>
          </w:p>
          <w:p w:rsidR="0002786B" w:rsidRPr="0002786B" w:rsidRDefault="0002786B" w:rsidP="0002786B">
            <w:pPr>
              <w:rPr>
                <w:rFonts w:asciiTheme="majorHAnsi" w:hAnsiTheme="majorHAnsi" w:cs="Arial"/>
                <w:sz w:val="20"/>
                <w:szCs w:val="20"/>
              </w:rPr>
            </w:pPr>
          </w:p>
        </w:tc>
        <w:tc>
          <w:tcPr>
            <w:tcW w:w="4621" w:type="dxa"/>
          </w:tcPr>
          <w:p w:rsidR="0002786B" w:rsidRPr="0002786B" w:rsidRDefault="0002786B" w:rsidP="0002786B">
            <w:pPr>
              <w:spacing w:after="120"/>
              <w:rPr>
                <w:rFonts w:asciiTheme="majorHAnsi" w:hAnsiTheme="majorHAnsi" w:cs="Arial"/>
                <w:sz w:val="20"/>
                <w:szCs w:val="20"/>
              </w:rPr>
            </w:pPr>
            <w:r w:rsidRPr="0002786B">
              <w:rPr>
                <w:rFonts w:asciiTheme="majorHAnsi" w:hAnsiTheme="majorHAnsi" w:cs="Arial"/>
                <w:sz w:val="20"/>
                <w:szCs w:val="20"/>
              </w:rPr>
              <w:t>0.05 mg/kg BW:</w:t>
            </w:r>
          </w:p>
          <w:p w:rsidR="0002786B" w:rsidRPr="0002786B" w:rsidRDefault="0002786B" w:rsidP="0002786B">
            <w:pPr>
              <w:ind w:left="170"/>
              <w:rPr>
                <w:rFonts w:asciiTheme="majorHAnsi" w:hAnsiTheme="majorHAnsi" w:cs="Times New Roman"/>
                <w:sz w:val="20"/>
                <w:szCs w:val="20"/>
              </w:rPr>
            </w:pPr>
            <w:r w:rsidRPr="0002786B">
              <w:rPr>
                <w:rFonts w:asciiTheme="majorHAnsi" w:hAnsiTheme="majorHAnsi" w:cs="Times New Roman"/>
                <w:sz w:val="20"/>
                <w:szCs w:val="20"/>
              </w:rPr>
              <w:t>Based on average BW</w:t>
            </w:r>
            <w:r w:rsidRPr="0002786B">
              <w:rPr>
                <w:rFonts w:asciiTheme="majorHAnsi" w:hAnsiTheme="majorHAnsi" w:cs="Times New Roman"/>
                <w:sz w:val="20"/>
                <w:szCs w:val="20"/>
                <w:vertAlign w:val="superscript"/>
              </w:rPr>
              <w:endnoteReference w:id="3"/>
            </w:r>
            <w:r w:rsidRPr="0002786B">
              <w:rPr>
                <w:rFonts w:asciiTheme="majorHAnsi" w:hAnsiTheme="majorHAnsi" w:cs="Times New Roman"/>
                <w:sz w:val="20"/>
                <w:szCs w:val="20"/>
              </w:rPr>
              <w:t>, this is equivalent to:</w:t>
            </w:r>
          </w:p>
          <w:p w:rsidR="0002786B" w:rsidRPr="0002786B" w:rsidRDefault="0002786B" w:rsidP="0002786B">
            <w:pPr>
              <w:ind w:left="170"/>
              <w:rPr>
                <w:rFonts w:asciiTheme="majorHAnsi" w:hAnsiTheme="majorHAnsi" w:cs="Times New Roman"/>
                <w:sz w:val="20"/>
                <w:szCs w:val="20"/>
              </w:rPr>
            </w:pPr>
            <w:r w:rsidRPr="0002786B">
              <w:rPr>
                <w:rFonts w:asciiTheme="majorHAnsi" w:hAnsiTheme="majorHAnsi" w:cs="Times New Roman"/>
                <w:sz w:val="20"/>
                <w:szCs w:val="20"/>
              </w:rPr>
              <w:t>84kg male = 4.2 mg/d</w:t>
            </w:r>
          </w:p>
          <w:p w:rsidR="0002786B" w:rsidRPr="0002786B" w:rsidRDefault="0002786B" w:rsidP="0002786B">
            <w:pPr>
              <w:ind w:left="170"/>
              <w:rPr>
                <w:rFonts w:asciiTheme="majorHAnsi" w:hAnsiTheme="majorHAnsi" w:cs="Times New Roman"/>
                <w:sz w:val="20"/>
                <w:szCs w:val="20"/>
              </w:rPr>
            </w:pPr>
            <w:r w:rsidRPr="0002786B">
              <w:rPr>
                <w:rFonts w:asciiTheme="majorHAnsi" w:hAnsiTheme="majorHAnsi" w:cs="Times New Roman"/>
                <w:sz w:val="20"/>
                <w:szCs w:val="20"/>
              </w:rPr>
              <w:t>71 kg female = 3.6 mg/d</w:t>
            </w:r>
          </w:p>
          <w:p w:rsidR="0002786B" w:rsidRPr="0002786B" w:rsidRDefault="0002786B" w:rsidP="0002786B">
            <w:pPr>
              <w:ind w:left="170"/>
              <w:rPr>
                <w:rFonts w:asciiTheme="majorHAnsi" w:hAnsiTheme="majorHAnsi" w:cs="Arial"/>
                <w:sz w:val="20"/>
                <w:szCs w:val="20"/>
              </w:rPr>
            </w:pPr>
            <w:r w:rsidRPr="0002786B">
              <w:rPr>
                <w:rFonts w:asciiTheme="majorHAnsi" w:hAnsiTheme="majorHAnsi" w:cs="Arial"/>
                <w:sz w:val="20"/>
                <w:szCs w:val="20"/>
              </w:rPr>
              <w:t>24 kg child = 1.2 mg/d</w:t>
            </w:r>
          </w:p>
          <w:p w:rsidR="0002786B" w:rsidRPr="0002786B" w:rsidRDefault="0002786B" w:rsidP="0002786B">
            <w:pPr>
              <w:rPr>
                <w:rFonts w:asciiTheme="majorHAnsi" w:hAnsiTheme="majorHAnsi" w:cs="Arial"/>
                <w:sz w:val="20"/>
                <w:szCs w:val="20"/>
              </w:rPr>
            </w:pPr>
          </w:p>
        </w:tc>
      </w:tr>
      <w:tr w:rsidR="0002786B" w:rsidRPr="0002786B" w:rsidTr="00CF7453">
        <w:tc>
          <w:tcPr>
            <w:tcW w:w="4621" w:type="dxa"/>
          </w:tcPr>
          <w:p w:rsidR="0002786B" w:rsidRPr="0002786B" w:rsidRDefault="0002786B" w:rsidP="0002786B">
            <w:pPr>
              <w:rPr>
                <w:rFonts w:asciiTheme="majorHAnsi" w:hAnsiTheme="majorHAnsi" w:cs="Arial"/>
                <w:sz w:val="20"/>
                <w:szCs w:val="20"/>
              </w:rPr>
            </w:pPr>
            <w:r w:rsidRPr="0002786B">
              <w:rPr>
                <w:rFonts w:asciiTheme="majorHAnsi" w:hAnsiTheme="majorHAnsi" w:cs="Arial"/>
                <w:sz w:val="20"/>
                <w:szCs w:val="20"/>
              </w:rPr>
              <w:t>Recommended Daily Allowance</w:t>
            </w:r>
            <w:r w:rsidRPr="0002786B">
              <w:rPr>
                <w:rFonts w:asciiTheme="majorHAnsi" w:hAnsiTheme="majorHAnsi" w:cs="Arial"/>
                <w:sz w:val="20"/>
                <w:szCs w:val="20"/>
                <w:vertAlign w:val="superscript"/>
              </w:rPr>
              <w:endnoteReference w:id="4"/>
            </w:r>
          </w:p>
          <w:p w:rsidR="0002786B" w:rsidRPr="0002786B" w:rsidRDefault="0002786B" w:rsidP="0002786B">
            <w:pPr>
              <w:rPr>
                <w:rFonts w:asciiTheme="majorHAnsi" w:hAnsiTheme="majorHAnsi" w:cs="Arial"/>
                <w:sz w:val="20"/>
                <w:szCs w:val="20"/>
              </w:rPr>
            </w:pPr>
          </w:p>
        </w:tc>
        <w:tc>
          <w:tcPr>
            <w:tcW w:w="4621" w:type="dxa"/>
          </w:tcPr>
          <w:p w:rsidR="0002786B" w:rsidRPr="0002786B" w:rsidRDefault="0002786B" w:rsidP="0002786B">
            <w:pPr>
              <w:rPr>
                <w:rFonts w:asciiTheme="majorHAnsi" w:hAnsiTheme="majorHAnsi" w:cs="Arial"/>
                <w:sz w:val="20"/>
                <w:szCs w:val="20"/>
              </w:rPr>
            </w:pPr>
            <w:r w:rsidRPr="0002786B">
              <w:rPr>
                <w:rFonts w:asciiTheme="majorHAnsi" w:hAnsiTheme="majorHAnsi" w:cs="Arial"/>
                <w:sz w:val="20"/>
                <w:szCs w:val="20"/>
              </w:rPr>
              <w:t>3.5 mg/d</w:t>
            </w:r>
          </w:p>
        </w:tc>
      </w:tr>
      <w:tr w:rsidR="0002786B" w:rsidRPr="0002786B" w:rsidTr="00CF7453">
        <w:tc>
          <w:tcPr>
            <w:tcW w:w="4621" w:type="dxa"/>
          </w:tcPr>
          <w:p w:rsidR="0002786B" w:rsidRPr="0002786B" w:rsidRDefault="0002786B" w:rsidP="0002786B">
            <w:pPr>
              <w:rPr>
                <w:rFonts w:asciiTheme="majorHAnsi" w:hAnsiTheme="majorHAnsi" w:cs="Arial"/>
                <w:sz w:val="20"/>
                <w:szCs w:val="20"/>
              </w:rPr>
            </w:pPr>
            <w:r w:rsidRPr="0002786B">
              <w:rPr>
                <w:rFonts w:asciiTheme="majorHAnsi" w:hAnsiTheme="majorHAnsi" w:cs="Arial"/>
                <w:sz w:val="20"/>
                <w:szCs w:val="20"/>
              </w:rPr>
              <w:t>Safe Upper Levels (EU</w:t>
            </w:r>
            <w:r w:rsidRPr="0002786B">
              <w:rPr>
                <w:rFonts w:asciiTheme="majorHAnsi" w:hAnsiTheme="majorHAnsi" w:cs="Arial"/>
                <w:sz w:val="20"/>
                <w:szCs w:val="20"/>
                <w:vertAlign w:val="superscript"/>
              </w:rPr>
              <w:endnoteReference w:id="5"/>
            </w:r>
            <w:r w:rsidRPr="0002786B">
              <w:rPr>
                <w:rFonts w:asciiTheme="majorHAnsi" w:hAnsiTheme="majorHAnsi" w:cs="Arial"/>
                <w:sz w:val="20"/>
                <w:szCs w:val="20"/>
              </w:rPr>
              <w:t>)</w:t>
            </w:r>
          </w:p>
          <w:p w:rsidR="0002786B" w:rsidRPr="0002786B" w:rsidRDefault="0002786B" w:rsidP="0002786B">
            <w:pPr>
              <w:rPr>
                <w:rFonts w:asciiTheme="majorHAnsi" w:hAnsiTheme="majorHAnsi" w:cs="Arial"/>
                <w:sz w:val="20"/>
                <w:szCs w:val="20"/>
              </w:rPr>
            </w:pPr>
          </w:p>
          <w:p w:rsidR="0002786B" w:rsidRPr="0002786B" w:rsidRDefault="0002786B" w:rsidP="0002786B">
            <w:pPr>
              <w:rPr>
                <w:rFonts w:asciiTheme="majorHAnsi" w:hAnsiTheme="majorHAnsi" w:cs="Arial"/>
                <w:sz w:val="20"/>
                <w:szCs w:val="20"/>
              </w:rPr>
            </w:pPr>
          </w:p>
        </w:tc>
        <w:tc>
          <w:tcPr>
            <w:tcW w:w="4621" w:type="dxa"/>
          </w:tcPr>
          <w:p w:rsidR="0002786B" w:rsidRPr="0002786B" w:rsidRDefault="0002786B" w:rsidP="0002786B">
            <w:pPr>
              <w:rPr>
                <w:rFonts w:asciiTheme="majorHAnsi" w:hAnsiTheme="majorHAnsi" w:cs="Arial"/>
                <w:sz w:val="20"/>
                <w:szCs w:val="20"/>
              </w:rPr>
            </w:pPr>
            <w:r w:rsidRPr="0002786B">
              <w:rPr>
                <w:rFonts w:asciiTheme="majorHAnsi" w:hAnsiTheme="majorHAnsi" w:cs="Arial"/>
                <w:sz w:val="20"/>
                <w:szCs w:val="20"/>
              </w:rPr>
              <w:t>Children 1-8 years 0.1 mg/kg BW:</w:t>
            </w:r>
          </w:p>
          <w:p w:rsidR="0002786B" w:rsidRPr="0002786B" w:rsidRDefault="0002786B" w:rsidP="0002786B">
            <w:pPr>
              <w:ind w:left="170"/>
              <w:rPr>
                <w:rFonts w:asciiTheme="majorHAnsi" w:hAnsiTheme="majorHAnsi" w:cs="Arial"/>
                <w:sz w:val="20"/>
                <w:szCs w:val="20"/>
              </w:rPr>
            </w:pPr>
            <w:r w:rsidRPr="0002786B">
              <w:rPr>
                <w:rFonts w:asciiTheme="majorHAnsi" w:hAnsiTheme="majorHAnsi" w:cs="Arial"/>
                <w:color w:val="000000"/>
                <w:sz w:val="20"/>
                <w:szCs w:val="20"/>
              </w:rPr>
              <w:t>Based on average BW, this is equivalent to 1.5 mg/d for children aged 1-3 years, and 2.5 mg/d for children aged 4-8 years.</w:t>
            </w:r>
          </w:p>
          <w:p w:rsidR="0002786B" w:rsidRPr="0002786B" w:rsidRDefault="0002786B" w:rsidP="0002786B">
            <w:pPr>
              <w:rPr>
                <w:rFonts w:asciiTheme="majorHAnsi" w:hAnsiTheme="majorHAnsi" w:cs="Arial"/>
                <w:sz w:val="20"/>
                <w:szCs w:val="20"/>
              </w:rPr>
            </w:pPr>
          </w:p>
          <w:p w:rsidR="0002786B" w:rsidRPr="0002786B" w:rsidRDefault="0002786B" w:rsidP="0002786B">
            <w:pPr>
              <w:rPr>
                <w:rFonts w:asciiTheme="majorHAnsi" w:hAnsiTheme="majorHAnsi" w:cs="Arial"/>
                <w:sz w:val="20"/>
                <w:szCs w:val="20"/>
              </w:rPr>
            </w:pPr>
            <w:r w:rsidRPr="0002786B">
              <w:rPr>
                <w:rFonts w:asciiTheme="majorHAnsi" w:hAnsiTheme="majorHAnsi" w:cs="Arial"/>
                <w:sz w:val="20"/>
                <w:szCs w:val="20"/>
              </w:rPr>
              <w:t>Children 9-14 years = 5 mg/d</w:t>
            </w:r>
          </w:p>
          <w:p w:rsidR="0002786B" w:rsidRPr="0002786B" w:rsidRDefault="0002786B" w:rsidP="0002786B">
            <w:pPr>
              <w:rPr>
                <w:rFonts w:asciiTheme="majorHAnsi" w:hAnsiTheme="majorHAnsi" w:cs="Arial"/>
                <w:sz w:val="20"/>
                <w:szCs w:val="20"/>
              </w:rPr>
            </w:pPr>
          </w:p>
          <w:p w:rsidR="0002786B" w:rsidRPr="0002786B" w:rsidRDefault="0002786B" w:rsidP="0002786B">
            <w:pPr>
              <w:rPr>
                <w:rFonts w:asciiTheme="majorHAnsi" w:hAnsiTheme="majorHAnsi" w:cs="Arial"/>
                <w:sz w:val="20"/>
                <w:szCs w:val="20"/>
              </w:rPr>
            </w:pPr>
            <w:r w:rsidRPr="0002786B">
              <w:rPr>
                <w:rFonts w:asciiTheme="majorHAnsi" w:hAnsiTheme="majorHAnsi" w:cs="Arial"/>
                <w:sz w:val="20"/>
                <w:szCs w:val="20"/>
              </w:rPr>
              <w:t>Adults = 7 mg/d</w:t>
            </w:r>
          </w:p>
          <w:p w:rsidR="0002786B" w:rsidRPr="0002786B" w:rsidRDefault="0002786B" w:rsidP="0002786B">
            <w:pPr>
              <w:ind w:left="170"/>
              <w:rPr>
                <w:rFonts w:asciiTheme="majorHAnsi" w:hAnsiTheme="majorHAnsi" w:cs="Arial"/>
                <w:sz w:val="20"/>
                <w:szCs w:val="20"/>
              </w:rPr>
            </w:pPr>
          </w:p>
        </w:tc>
      </w:tr>
    </w:tbl>
    <w:p w:rsidR="0002786B" w:rsidRPr="0002786B" w:rsidRDefault="0002786B" w:rsidP="0002786B">
      <w:pPr>
        <w:rPr>
          <w:rFonts w:asciiTheme="majorHAnsi" w:eastAsia="Calibri" w:hAnsiTheme="majorHAnsi" w:cs="Arial"/>
          <w:sz w:val="20"/>
          <w:szCs w:val="20"/>
          <w:lang w:val="en-GB"/>
        </w:rPr>
      </w:pPr>
      <w:r w:rsidRPr="0002786B">
        <w:rPr>
          <w:rFonts w:asciiTheme="majorHAnsi" w:eastAsia="Calibri" w:hAnsiTheme="majorHAnsi" w:cs="Arial"/>
          <w:sz w:val="20"/>
          <w:szCs w:val="20"/>
          <w:u w:val="single"/>
          <w:lang w:val="en-GB"/>
        </w:rPr>
        <w:lastRenderedPageBreak/>
        <w:t>Key</w:t>
      </w:r>
      <w:r w:rsidRPr="0002786B">
        <w:rPr>
          <w:rFonts w:asciiTheme="majorHAnsi" w:eastAsia="Calibri" w:hAnsiTheme="majorHAnsi" w:cs="Arial"/>
          <w:sz w:val="20"/>
          <w:szCs w:val="20"/>
          <w:lang w:val="en-GB"/>
        </w:rPr>
        <w:t>: BW, body weight; d, day. Note: AI for pregnant women relate to their pre-pregnancy BW.</w:t>
      </w:r>
    </w:p>
    <w:p w:rsidR="00157876" w:rsidRPr="0002786B" w:rsidRDefault="00157876" w:rsidP="00157876">
      <w:pPr>
        <w:outlineLvl w:val="0"/>
        <w:rPr>
          <w:rFonts w:asciiTheme="majorHAnsi" w:eastAsia="Times New Roman" w:hAnsiTheme="majorHAnsi" w:cs="Arial"/>
          <w:b/>
          <w:sz w:val="20"/>
          <w:szCs w:val="20"/>
          <w:lang w:val="en-GB" w:eastAsia="en-GB"/>
        </w:rPr>
      </w:pPr>
    </w:p>
    <w:p w:rsidR="00157876" w:rsidRPr="0002786B" w:rsidRDefault="00157876" w:rsidP="00157876">
      <w:pPr>
        <w:rPr>
          <w:rFonts w:asciiTheme="majorHAnsi" w:eastAsia="Times New Roman" w:hAnsiTheme="majorHAnsi" w:cs="Arial"/>
          <w:sz w:val="20"/>
          <w:szCs w:val="20"/>
          <w:lang w:val="en-GB" w:eastAsia="en-GB"/>
        </w:rPr>
      </w:pPr>
    </w:p>
    <w:p w:rsidR="00157876" w:rsidRPr="0002786B" w:rsidRDefault="00157876" w:rsidP="00157876">
      <w:pPr>
        <w:rPr>
          <w:rFonts w:asciiTheme="majorHAnsi" w:eastAsia="Times New Roman" w:hAnsiTheme="majorHAnsi" w:cs="Arial"/>
          <w:sz w:val="20"/>
          <w:szCs w:val="20"/>
          <w:lang w:val="en-GB" w:eastAsia="en-GB"/>
        </w:rPr>
      </w:pPr>
      <w:r w:rsidRPr="0002786B">
        <w:rPr>
          <w:rFonts w:asciiTheme="majorHAnsi" w:eastAsia="Times New Roman" w:hAnsiTheme="majorHAnsi" w:cs="Arial"/>
          <w:b/>
          <w:sz w:val="20"/>
          <w:szCs w:val="20"/>
          <w:lang w:val="en-GB" w:eastAsia="en-GB"/>
        </w:rPr>
        <w:lastRenderedPageBreak/>
        <w:t>For more information please contact</w:t>
      </w:r>
      <w:r w:rsidR="0079601C" w:rsidRPr="0002786B">
        <w:rPr>
          <w:rFonts w:asciiTheme="majorHAnsi" w:eastAsia="Times New Roman" w:hAnsiTheme="majorHAnsi" w:cs="Arial"/>
          <w:b/>
          <w:sz w:val="20"/>
          <w:szCs w:val="20"/>
          <w:lang w:val="en-GB" w:eastAsia="en-GB"/>
        </w:rPr>
        <w:t xml:space="preserve">: </w:t>
      </w:r>
      <w:r w:rsidRPr="0002786B">
        <w:rPr>
          <w:rFonts w:asciiTheme="majorHAnsi" w:eastAsia="Times New Roman" w:hAnsiTheme="majorHAnsi" w:cs="Arial"/>
          <w:b/>
          <w:sz w:val="20"/>
          <w:szCs w:val="20"/>
          <w:lang w:val="en-GB" w:eastAsia="en-GB"/>
        </w:rPr>
        <w:br/>
      </w:r>
      <w:proofErr w:type="spellStart"/>
      <w:r w:rsidR="00DD29B8">
        <w:rPr>
          <w:rFonts w:asciiTheme="majorHAnsi" w:eastAsia="Times New Roman" w:hAnsiTheme="majorHAnsi" w:cs="Arial"/>
          <w:sz w:val="20"/>
          <w:szCs w:val="20"/>
          <w:lang w:val="en-GB" w:eastAsia="en-GB"/>
        </w:rPr>
        <w:t>Isla.Haslam</w:t>
      </w:r>
      <w:proofErr w:type="spellEnd"/>
      <w:r w:rsidR="00DD29B8">
        <w:rPr>
          <w:rFonts w:asciiTheme="majorHAnsi" w:eastAsia="Times New Roman" w:hAnsiTheme="majorHAnsi" w:cs="Arial"/>
          <w:sz w:val="20"/>
          <w:szCs w:val="20"/>
          <w:lang w:val="en-GB" w:eastAsia="en-GB"/>
        </w:rPr>
        <w:t xml:space="preserve"> at </w:t>
      </w:r>
      <w:hyperlink r:id="rId8" w:history="1">
        <w:r w:rsidR="00DD29B8" w:rsidRPr="006760BC">
          <w:rPr>
            <w:rStyle w:val="Hyperlink"/>
            <w:rFonts w:asciiTheme="majorHAnsi" w:eastAsia="Times New Roman" w:hAnsiTheme="majorHAnsi" w:cs="Arial"/>
            <w:sz w:val="20"/>
            <w:szCs w:val="20"/>
            <w:lang w:val="en-GB" w:eastAsia="en-GB"/>
          </w:rPr>
          <w:t>isla.haslam@nexuspr.com</w:t>
        </w:r>
      </w:hyperlink>
      <w:r w:rsidR="00DD29B8">
        <w:rPr>
          <w:rFonts w:asciiTheme="majorHAnsi" w:eastAsia="Times New Roman" w:hAnsiTheme="majorHAnsi" w:cs="Arial"/>
          <w:sz w:val="20"/>
          <w:szCs w:val="20"/>
          <w:lang w:val="en-GB" w:eastAsia="en-GB"/>
        </w:rPr>
        <w:t xml:space="preserve"> or 0207 528880</w:t>
      </w:r>
    </w:p>
    <w:p w:rsidR="007F06FE" w:rsidRPr="000A64AE" w:rsidRDefault="00157876" w:rsidP="007F06FE">
      <w:pPr>
        <w:rPr>
          <w:rFonts w:asciiTheme="majorHAnsi" w:eastAsia="Times New Roman" w:hAnsiTheme="majorHAnsi" w:cs="Arial"/>
          <w:sz w:val="20"/>
          <w:szCs w:val="20"/>
          <w:lang w:val="en-GB" w:eastAsia="en-GB"/>
        </w:rPr>
      </w:pPr>
      <w:r w:rsidRPr="0002786B">
        <w:rPr>
          <w:rFonts w:asciiTheme="majorHAnsi" w:eastAsia="Times New Roman" w:hAnsiTheme="majorHAnsi" w:cs="Arial"/>
          <w:sz w:val="20"/>
          <w:szCs w:val="20"/>
          <w:lang w:val="en-GB" w:eastAsia="en-GB"/>
        </w:rPr>
        <w:t xml:space="preserve">Nicky Smith at </w:t>
      </w:r>
      <w:r w:rsidRPr="0002786B">
        <w:rPr>
          <w:rFonts w:asciiTheme="majorHAnsi" w:eastAsia="Times New Roman" w:hAnsiTheme="majorHAnsi" w:cs="Arial"/>
          <w:color w:val="0000FF"/>
          <w:sz w:val="20"/>
          <w:szCs w:val="20"/>
          <w:u w:val="single"/>
          <w:lang w:val="en-GB" w:eastAsia="en-GB"/>
        </w:rPr>
        <w:t>nicky.smith@nexuspr.com</w:t>
      </w:r>
      <w:r w:rsidRPr="0002786B">
        <w:rPr>
          <w:rFonts w:asciiTheme="majorHAnsi" w:eastAsia="Times New Roman" w:hAnsiTheme="majorHAnsi" w:cs="Arial"/>
          <w:sz w:val="20"/>
          <w:szCs w:val="20"/>
          <w:lang w:val="en-GB" w:eastAsia="en-GB"/>
        </w:rPr>
        <w:t xml:space="preserve"> or 0207 052 8850 / 07867513361</w:t>
      </w:r>
      <w:bookmarkStart w:id="1" w:name="_GoBack"/>
      <w:bookmarkEnd w:id="1"/>
    </w:p>
    <w:p w:rsidR="0013281B" w:rsidRPr="0002786B" w:rsidRDefault="0013281B" w:rsidP="007F06FE">
      <w:pPr>
        <w:rPr>
          <w:rFonts w:asciiTheme="majorHAnsi" w:hAnsiTheme="majorHAnsi"/>
          <w:sz w:val="20"/>
          <w:szCs w:val="20"/>
        </w:rPr>
      </w:pPr>
    </w:p>
    <w:sectPr w:rsidR="0013281B" w:rsidRPr="0002786B" w:rsidSect="00157876">
      <w:pgSz w:w="11900" w:h="16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0F" w:rsidRDefault="0089260F" w:rsidP="007F06FE">
      <w:r>
        <w:separator/>
      </w:r>
    </w:p>
  </w:endnote>
  <w:endnote w:type="continuationSeparator" w:id="0">
    <w:p w:rsidR="0089260F" w:rsidRDefault="0089260F" w:rsidP="007F06FE">
      <w:r>
        <w:continuationSeparator/>
      </w:r>
    </w:p>
  </w:endnote>
  <w:endnote w:id="1">
    <w:p w:rsidR="0002786B" w:rsidRPr="0002786B" w:rsidRDefault="0002786B" w:rsidP="0002786B">
      <w:pPr>
        <w:pStyle w:val="EndnoteText"/>
        <w:spacing w:after="120"/>
        <w:rPr>
          <w:rFonts w:asciiTheme="majorHAnsi" w:hAnsiTheme="majorHAnsi"/>
          <w:sz w:val="18"/>
          <w:szCs w:val="18"/>
        </w:rPr>
      </w:pPr>
      <w:r w:rsidRPr="00ED66FB">
        <w:rPr>
          <w:rStyle w:val="EndnoteReference"/>
          <w:sz w:val="22"/>
          <w:szCs w:val="22"/>
        </w:rPr>
        <w:endnoteRef/>
      </w:r>
      <w:r w:rsidRPr="00ED66FB">
        <w:rPr>
          <w:sz w:val="22"/>
          <w:szCs w:val="22"/>
        </w:rPr>
        <w:t xml:space="preserve"> </w:t>
      </w:r>
      <w:r w:rsidRPr="0002786B">
        <w:rPr>
          <w:rFonts w:asciiTheme="majorHAnsi" w:hAnsiTheme="majorHAnsi"/>
          <w:sz w:val="18"/>
          <w:szCs w:val="18"/>
        </w:rPr>
        <w:t>Department of Health (1991) Report on Health and Social Subjects: 41. Dietary Reference Values for Food Energy and Nutrients for the United Kingdom. HMSO: London.</w:t>
      </w:r>
    </w:p>
  </w:endnote>
  <w:endnote w:id="2">
    <w:p w:rsidR="0002786B" w:rsidRPr="0002786B" w:rsidRDefault="0002786B" w:rsidP="0002786B">
      <w:pPr>
        <w:pStyle w:val="EndnoteText"/>
        <w:spacing w:after="120"/>
        <w:rPr>
          <w:rFonts w:asciiTheme="majorHAnsi" w:hAnsiTheme="majorHAnsi"/>
          <w:sz w:val="18"/>
          <w:szCs w:val="18"/>
        </w:rPr>
      </w:pPr>
      <w:r w:rsidRPr="0002786B">
        <w:rPr>
          <w:rStyle w:val="EndnoteReference"/>
          <w:rFonts w:asciiTheme="majorHAnsi" w:hAnsiTheme="majorHAnsi"/>
          <w:sz w:val="18"/>
          <w:szCs w:val="18"/>
        </w:rPr>
        <w:endnoteRef/>
      </w:r>
      <w:r w:rsidRPr="0002786B">
        <w:rPr>
          <w:rFonts w:asciiTheme="majorHAnsi" w:hAnsiTheme="majorHAnsi"/>
          <w:sz w:val="18"/>
          <w:szCs w:val="18"/>
        </w:rPr>
        <w:t xml:space="preserve"> European Food Safety Authority (EFSA) 2013) Scientific Opinion on Dietary Reference Values for fluoride. EFSA Journal, 11: 3332 (46 pages).</w:t>
      </w:r>
    </w:p>
  </w:endnote>
  <w:endnote w:id="3">
    <w:p w:rsidR="0002786B" w:rsidRPr="0002786B" w:rsidRDefault="0002786B" w:rsidP="0002786B">
      <w:pPr>
        <w:pStyle w:val="EndnoteText"/>
        <w:spacing w:after="120"/>
        <w:rPr>
          <w:rFonts w:asciiTheme="majorHAnsi" w:hAnsiTheme="majorHAnsi"/>
          <w:sz w:val="18"/>
          <w:szCs w:val="18"/>
        </w:rPr>
      </w:pPr>
      <w:r w:rsidRPr="0002786B">
        <w:rPr>
          <w:rStyle w:val="EndnoteReference"/>
          <w:rFonts w:asciiTheme="majorHAnsi" w:hAnsiTheme="majorHAnsi"/>
          <w:sz w:val="18"/>
          <w:szCs w:val="18"/>
        </w:rPr>
        <w:endnoteRef/>
      </w:r>
      <w:r w:rsidRPr="0002786B">
        <w:rPr>
          <w:rFonts w:asciiTheme="majorHAnsi" w:hAnsiTheme="majorHAnsi"/>
          <w:sz w:val="18"/>
          <w:szCs w:val="18"/>
        </w:rPr>
        <w:t xml:space="preserve"> Health Survey for England (2012) Chapter 10: Adult anthropometric measures, overweight and obesity. Available at: </w:t>
      </w:r>
      <w:hyperlink r:id="rId1" w:history="1">
        <w:r w:rsidRPr="0002786B">
          <w:rPr>
            <w:rStyle w:val="Hyperlink1"/>
            <w:rFonts w:asciiTheme="majorHAnsi" w:hAnsiTheme="majorHAnsi"/>
            <w:sz w:val="18"/>
            <w:szCs w:val="18"/>
          </w:rPr>
          <w:t>http://www.hscic.gov.uk/catalogue/PUB13218/HSE2012-Ch10-Adult-BMI.pdf</w:t>
        </w:r>
      </w:hyperlink>
      <w:r w:rsidRPr="0002786B">
        <w:rPr>
          <w:rFonts w:asciiTheme="majorHAnsi" w:hAnsiTheme="majorHAnsi"/>
          <w:sz w:val="18"/>
          <w:szCs w:val="18"/>
        </w:rPr>
        <w:t xml:space="preserve"> </w:t>
      </w:r>
    </w:p>
  </w:endnote>
  <w:endnote w:id="4">
    <w:p w:rsidR="0002786B" w:rsidRPr="0002786B" w:rsidRDefault="0002786B" w:rsidP="0002786B">
      <w:pPr>
        <w:pStyle w:val="EndnoteText"/>
        <w:spacing w:after="120"/>
        <w:rPr>
          <w:rFonts w:asciiTheme="majorHAnsi" w:hAnsiTheme="majorHAnsi"/>
          <w:sz w:val="18"/>
          <w:szCs w:val="18"/>
        </w:rPr>
      </w:pPr>
      <w:r w:rsidRPr="0002786B">
        <w:rPr>
          <w:rStyle w:val="EndnoteReference"/>
          <w:rFonts w:asciiTheme="majorHAnsi" w:hAnsiTheme="majorHAnsi"/>
          <w:sz w:val="18"/>
          <w:szCs w:val="18"/>
        </w:rPr>
        <w:endnoteRef/>
      </w:r>
      <w:r w:rsidRPr="0002786B">
        <w:rPr>
          <w:rFonts w:asciiTheme="majorHAnsi" w:hAnsiTheme="majorHAnsi"/>
          <w:sz w:val="18"/>
          <w:szCs w:val="18"/>
        </w:rPr>
        <w:t xml:space="preserve"> European Parliament and Council (2008) Commission Directive 2008/100/EC</w:t>
      </w:r>
    </w:p>
    <w:p w:rsidR="0002786B" w:rsidRPr="0002786B" w:rsidRDefault="0002786B" w:rsidP="0002786B">
      <w:pPr>
        <w:pStyle w:val="EndnoteText"/>
        <w:spacing w:after="120"/>
        <w:rPr>
          <w:rFonts w:asciiTheme="majorHAnsi" w:hAnsiTheme="majorHAnsi"/>
          <w:sz w:val="18"/>
          <w:szCs w:val="18"/>
        </w:rPr>
      </w:pPr>
      <w:proofErr w:type="gramStart"/>
      <w:r w:rsidRPr="0002786B">
        <w:rPr>
          <w:rFonts w:asciiTheme="majorHAnsi" w:hAnsiTheme="majorHAnsi"/>
          <w:sz w:val="18"/>
          <w:szCs w:val="18"/>
        </w:rPr>
        <w:t>of</w:t>
      </w:r>
      <w:proofErr w:type="gramEnd"/>
      <w:r w:rsidRPr="0002786B">
        <w:rPr>
          <w:rFonts w:asciiTheme="majorHAnsi" w:hAnsiTheme="majorHAnsi"/>
          <w:sz w:val="18"/>
          <w:szCs w:val="18"/>
        </w:rPr>
        <w:t xml:space="preserve"> 28 October 2008 amending Council Directive 90/496/EEC on nutrition labelling for foodstuffs as regards recommended daily allowances, energy conversion factors and definitions. Official Journal of the European Union 285/9. Available at: </w:t>
      </w:r>
      <w:hyperlink r:id="rId2" w:history="1">
        <w:r w:rsidRPr="0002786B">
          <w:rPr>
            <w:rStyle w:val="Hyperlink1"/>
            <w:rFonts w:asciiTheme="majorHAnsi" w:hAnsiTheme="majorHAnsi"/>
            <w:sz w:val="18"/>
            <w:szCs w:val="18"/>
          </w:rPr>
          <w:t>http://eur-lex.europa.eu/LexUriServ/LexUriServ.do?uri=OJ:L:2008:285:0009:0012:EN:PDF</w:t>
        </w:r>
      </w:hyperlink>
      <w:r w:rsidRPr="0002786B">
        <w:rPr>
          <w:rFonts w:asciiTheme="majorHAnsi" w:hAnsiTheme="majorHAnsi"/>
          <w:sz w:val="18"/>
          <w:szCs w:val="18"/>
        </w:rPr>
        <w:t xml:space="preserve"> </w:t>
      </w:r>
    </w:p>
  </w:endnote>
  <w:endnote w:id="5">
    <w:p w:rsidR="0002786B" w:rsidRPr="0002786B" w:rsidRDefault="0002786B" w:rsidP="0002786B">
      <w:pPr>
        <w:pStyle w:val="EndnoteText"/>
        <w:spacing w:after="120"/>
        <w:rPr>
          <w:rFonts w:asciiTheme="majorHAnsi" w:hAnsiTheme="majorHAnsi"/>
          <w:sz w:val="18"/>
          <w:szCs w:val="18"/>
        </w:rPr>
      </w:pPr>
      <w:r w:rsidRPr="0002786B">
        <w:rPr>
          <w:rStyle w:val="EndnoteReference"/>
          <w:rFonts w:asciiTheme="majorHAnsi" w:hAnsiTheme="majorHAnsi"/>
          <w:sz w:val="18"/>
          <w:szCs w:val="18"/>
        </w:rPr>
        <w:endnoteRef/>
      </w:r>
      <w:r w:rsidRPr="0002786B">
        <w:rPr>
          <w:rFonts w:asciiTheme="majorHAnsi" w:hAnsiTheme="majorHAnsi"/>
          <w:sz w:val="18"/>
          <w:szCs w:val="18"/>
        </w:rPr>
        <w:t xml:space="preserve"> European Food Safety Authority (2006) Opinion of the Scientific Panel on Dietetic Products, Nutrition and Allergies on a request from the Commission related to the Tolerable Upper Intake Level of Fluoride (Request N° EFSA-Q-2003-018). The EFSA Journal, 192: 1-65.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25B29B8t00">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0F" w:rsidRDefault="0089260F" w:rsidP="007F06FE">
      <w:r>
        <w:separator/>
      </w:r>
    </w:p>
  </w:footnote>
  <w:footnote w:type="continuationSeparator" w:id="0">
    <w:p w:rsidR="0089260F" w:rsidRDefault="0089260F" w:rsidP="007F06FE">
      <w:r>
        <w:continuationSeparator/>
      </w:r>
    </w:p>
  </w:footnote>
  <w:footnote w:id="1">
    <w:p w:rsidR="00DE14FB" w:rsidRPr="00157876" w:rsidRDefault="00DE14FB" w:rsidP="00157876">
      <w:pPr>
        <w:jc w:val="both"/>
        <w:rPr>
          <w:rFonts w:asciiTheme="majorHAnsi" w:hAnsiTheme="majorHAnsi"/>
          <w:sz w:val="18"/>
          <w:szCs w:val="18"/>
        </w:rPr>
      </w:pPr>
      <w:r w:rsidRPr="00157876">
        <w:rPr>
          <w:rStyle w:val="FootnoteReference"/>
          <w:rFonts w:asciiTheme="majorHAnsi" w:hAnsiTheme="majorHAnsi"/>
          <w:sz w:val="18"/>
          <w:szCs w:val="18"/>
        </w:rPr>
        <w:footnoteRef/>
      </w:r>
      <w:r w:rsidRPr="00157876">
        <w:rPr>
          <w:rFonts w:asciiTheme="majorHAnsi" w:hAnsiTheme="majorHAnsi"/>
          <w:sz w:val="18"/>
          <w:szCs w:val="18"/>
        </w:rPr>
        <w:t xml:space="preserve"> Ruxton, CHS and Bond T. Fluoride content of retail tea bags and estimates of daily fluoride consumption based on typical tea drinking habits in UK adults and children. </w:t>
      </w:r>
      <w:r w:rsidRPr="00157876">
        <w:rPr>
          <w:rFonts w:asciiTheme="majorHAnsi" w:hAnsiTheme="majorHAnsi"/>
          <w:i/>
          <w:sz w:val="18"/>
          <w:szCs w:val="18"/>
        </w:rPr>
        <w:t>Public Health Nutrition</w:t>
      </w:r>
      <w:r w:rsidRPr="00157876">
        <w:rPr>
          <w:rFonts w:asciiTheme="majorHAnsi" w:hAnsiTheme="majorHAnsi"/>
          <w:sz w:val="18"/>
          <w:szCs w:val="18"/>
        </w:rPr>
        <w:t xml:space="preserve"> (in press)</w:t>
      </w:r>
    </w:p>
    <w:p w:rsidR="00DE14FB" w:rsidRPr="00157876" w:rsidRDefault="00DE14FB" w:rsidP="00157876">
      <w:pPr>
        <w:pStyle w:val="FootnoteText"/>
        <w:jc w:val="both"/>
        <w:rPr>
          <w:rFonts w:asciiTheme="majorHAnsi" w:hAnsiTheme="majorHAnsi"/>
          <w:sz w:val="18"/>
          <w:szCs w:val="18"/>
        </w:rPr>
      </w:pPr>
    </w:p>
  </w:footnote>
  <w:footnote w:id="2">
    <w:p w:rsidR="0002786B" w:rsidRDefault="00DE14FB" w:rsidP="00157876">
      <w:pPr>
        <w:ind w:left="720" w:hanging="720"/>
        <w:jc w:val="both"/>
        <w:rPr>
          <w:rFonts w:asciiTheme="majorHAnsi" w:hAnsiTheme="majorHAnsi" w:cs="Arial"/>
          <w:noProof/>
          <w:sz w:val="18"/>
          <w:szCs w:val="18"/>
        </w:rPr>
      </w:pPr>
      <w:r w:rsidRPr="00157876">
        <w:rPr>
          <w:rStyle w:val="FootnoteReference"/>
          <w:rFonts w:asciiTheme="majorHAnsi" w:hAnsiTheme="majorHAnsi"/>
          <w:sz w:val="18"/>
          <w:szCs w:val="18"/>
        </w:rPr>
        <w:footnoteRef/>
      </w:r>
      <w:r w:rsidRPr="00157876">
        <w:rPr>
          <w:rFonts w:asciiTheme="majorHAnsi" w:hAnsiTheme="majorHAnsi"/>
          <w:sz w:val="18"/>
          <w:szCs w:val="18"/>
        </w:rPr>
        <w:t xml:space="preserve"> </w:t>
      </w:r>
      <w:bookmarkStart w:id="0" w:name="_ENREF_11"/>
      <w:r w:rsidRPr="00157876">
        <w:rPr>
          <w:rFonts w:asciiTheme="majorHAnsi" w:hAnsiTheme="majorHAnsi" w:cs="Arial"/>
          <w:noProof/>
          <w:sz w:val="18"/>
          <w:szCs w:val="18"/>
        </w:rPr>
        <w:t xml:space="preserve">Chan L, Mehra A &amp; Saikat S (2013) Human exposure assessment </w:t>
      </w:r>
    </w:p>
    <w:p w:rsidR="0002786B" w:rsidRDefault="00DE14FB" w:rsidP="00157876">
      <w:pPr>
        <w:ind w:left="720" w:hanging="720"/>
        <w:jc w:val="both"/>
        <w:rPr>
          <w:rFonts w:asciiTheme="majorHAnsi" w:hAnsiTheme="majorHAnsi" w:cs="Arial"/>
          <w:noProof/>
          <w:sz w:val="18"/>
          <w:szCs w:val="18"/>
        </w:rPr>
      </w:pPr>
      <w:r w:rsidRPr="00157876">
        <w:rPr>
          <w:rFonts w:asciiTheme="majorHAnsi" w:hAnsiTheme="majorHAnsi" w:cs="Arial"/>
          <w:noProof/>
          <w:sz w:val="18"/>
          <w:szCs w:val="18"/>
        </w:rPr>
        <w:t>of fluoride</w:t>
      </w:r>
      <w:r w:rsidR="0002786B">
        <w:rPr>
          <w:rFonts w:asciiTheme="majorHAnsi" w:hAnsiTheme="majorHAnsi" w:cs="Arial"/>
          <w:noProof/>
          <w:sz w:val="18"/>
          <w:szCs w:val="18"/>
        </w:rPr>
        <w:t xml:space="preserve"> f</w:t>
      </w:r>
      <w:r w:rsidRPr="00157876">
        <w:rPr>
          <w:rFonts w:asciiTheme="majorHAnsi" w:hAnsiTheme="majorHAnsi" w:cs="Arial"/>
          <w:noProof/>
          <w:sz w:val="18"/>
          <w:szCs w:val="18"/>
        </w:rPr>
        <w:t xml:space="preserve">rom tea (Camellia sinensis L.): A UK based issue? . </w:t>
      </w:r>
    </w:p>
    <w:p w:rsidR="00DE14FB" w:rsidRPr="00157876" w:rsidRDefault="00DE14FB" w:rsidP="00157876">
      <w:pPr>
        <w:ind w:left="720" w:hanging="720"/>
        <w:jc w:val="both"/>
        <w:rPr>
          <w:rFonts w:asciiTheme="majorHAnsi" w:hAnsiTheme="majorHAnsi" w:cs="Arial"/>
          <w:noProof/>
          <w:sz w:val="18"/>
          <w:szCs w:val="18"/>
        </w:rPr>
      </w:pPr>
      <w:r w:rsidRPr="00157876">
        <w:rPr>
          <w:rFonts w:asciiTheme="majorHAnsi" w:hAnsiTheme="majorHAnsi" w:cs="Arial"/>
          <w:i/>
          <w:noProof/>
          <w:sz w:val="18"/>
          <w:szCs w:val="18"/>
        </w:rPr>
        <w:t>Food Res Int</w:t>
      </w:r>
      <w:r w:rsidRPr="00157876">
        <w:rPr>
          <w:rFonts w:asciiTheme="majorHAnsi" w:hAnsiTheme="majorHAnsi" w:cs="Arial"/>
          <w:noProof/>
          <w:sz w:val="18"/>
          <w:szCs w:val="18"/>
        </w:rPr>
        <w:t xml:space="preserve"> </w:t>
      </w:r>
      <w:r w:rsidRPr="00157876">
        <w:rPr>
          <w:rFonts w:asciiTheme="majorHAnsi" w:hAnsiTheme="majorHAnsi" w:cs="Arial"/>
          <w:b/>
          <w:noProof/>
          <w:sz w:val="18"/>
          <w:szCs w:val="18"/>
        </w:rPr>
        <w:t>51,</w:t>
      </w:r>
      <w:r w:rsidRPr="00157876">
        <w:rPr>
          <w:rFonts w:asciiTheme="majorHAnsi" w:hAnsiTheme="majorHAnsi" w:cs="Arial"/>
          <w:noProof/>
          <w:sz w:val="18"/>
          <w:szCs w:val="18"/>
        </w:rPr>
        <w:t xml:space="preserve"> 564-570.</w:t>
      </w:r>
      <w:bookmarkEnd w:id="0"/>
    </w:p>
    <w:p w:rsidR="00DE14FB" w:rsidRPr="00157876" w:rsidRDefault="00DE14FB" w:rsidP="00157876">
      <w:pPr>
        <w:pStyle w:val="FootnoteText"/>
        <w:jc w:val="both"/>
        <w:rPr>
          <w:rFonts w:asciiTheme="majorHAnsi" w:hAnsiTheme="majorHAnsi"/>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D1A04"/>
    <w:multiLevelType w:val="hybridMultilevel"/>
    <w:tmpl w:val="8F1EDAD8"/>
    <w:lvl w:ilvl="0" w:tplc="2DE28AD4">
      <w:start w:val="1"/>
      <w:numFmt w:val="bullet"/>
      <w:lvlText w:val="•"/>
      <w:lvlJc w:val="left"/>
      <w:pPr>
        <w:tabs>
          <w:tab w:val="num" w:pos="720"/>
        </w:tabs>
        <w:ind w:left="720" w:hanging="360"/>
      </w:pPr>
      <w:rPr>
        <w:rFonts w:ascii="Arial" w:hAnsi="Arial" w:hint="default"/>
      </w:rPr>
    </w:lvl>
    <w:lvl w:ilvl="1" w:tplc="87565DD0" w:tentative="1">
      <w:start w:val="1"/>
      <w:numFmt w:val="bullet"/>
      <w:lvlText w:val="•"/>
      <w:lvlJc w:val="left"/>
      <w:pPr>
        <w:tabs>
          <w:tab w:val="num" w:pos="1440"/>
        </w:tabs>
        <w:ind w:left="1440" w:hanging="360"/>
      </w:pPr>
      <w:rPr>
        <w:rFonts w:ascii="Arial" w:hAnsi="Arial" w:hint="default"/>
      </w:rPr>
    </w:lvl>
    <w:lvl w:ilvl="2" w:tplc="6902F784" w:tentative="1">
      <w:start w:val="1"/>
      <w:numFmt w:val="bullet"/>
      <w:lvlText w:val="•"/>
      <w:lvlJc w:val="left"/>
      <w:pPr>
        <w:tabs>
          <w:tab w:val="num" w:pos="2160"/>
        </w:tabs>
        <w:ind w:left="2160" w:hanging="360"/>
      </w:pPr>
      <w:rPr>
        <w:rFonts w:ascii="Arial" w:hAnsi="Arial" w:hint="default"/>
      </w:rPr>
    </w:lvl>
    <w:lvl w:ilvl="3" w:tplc="192613D6" w:tentative="1">
      <w:start w:val="1"/>
      <w:numFmt w:val="bullet"/>
      <w:lvlText w:val="•"/>
      <w:lvlJc w:val="left"/>
      <w:pPr>
        <w:tabs>
          <w:tab w:val="num" w:pos="2880"/>
        </w:tabs>
        <w:ind w:left="2880" w:hanging="360"/>
      </w:pPr>
      <w:rPr>
        <w:rFonts w:ascii="Arial" w:hAnsi="Arial" w:hint="default"/>
      </w:rPr>
    </w:lvl>
    <w:lvl w:ilvl="4" w:tplc="7A0A37AE" w:tentative="1">
      <w:start w:val="1"/>
      <w:numFmt w:val="bullet"/>
      <w:lvlText w:val="•"/>
      <w:lvlJc w:val="left"/>
      <w:pPr>
        <w:tabs>
          <w:tab w:val="num" w:pos="3600"/>
        </w:tabs>
        <w:ind w:left="3600" w:hanging="360"/>
      </w:pPr>
      <w:rPr>
        <w:rFonts w:ascii="Arial" w:hAnsi="Arial" w:hint="default"/>
      </w:rPr>
    </w:lvl>
    <w:lvl w:ilvl="5" w:tplc="8D86BFD2" w:tentative="1">
      <w:start w:val="1"/>
      <w:numFmt w:val="bullet"/>
      <w:lvlText w:val="•"/>
      <w:lvlJc w:val="left"/>
      <w:pPr>
        <w:tabs>
          <w:tab w:val="num" w:pos="4320"/>
        </w:tabs>
        <w:ind w:left="4320" w:hanging="360"/>
      </w:pPr>
      <w:rPr>
        <w:rFonts w:ascii="Arial" w:hAnsi="Arial" w:hint="default"/>
      </w:rPr>
    </w:lvl>
    <w:lvl w:ilvl="6" w:tplc="51744A1C" w:tentative="1">
      <w:start w:val="1"/>
      <w:numFmt w:val="bullet"/>
      <w:lvlText w:val="•"/>
      <w:lvlJc w:val="left"/>
      <w:pPr>
        <w:tabs>
          <w:tab w:val="num" w:pos="5040"/>
        </w:tabs>
        <w:ind w:left="5040" w:hanging="360"/>
      </w:pPr>
      <w:rPr>
        <w:rFonts w:ascii="Arial" w:hAnsi="Arial" w:hint="default"/>
      </w:rPr>
    </w:lvl>
    <w:lvl w:ilvl="7" w:tplc="72B4D736" w:tentative="1">
      <w:start w:val="1"/>
      <w:numFmt w:val="bullet"/>
      <w:lvlText w:val="•"/>
      <w:lvlJc w:val="left"/>
      <w:pPr>
        <w:tabs>
          <w:tab w:val="num" w:pos="5760"/>
        </w:tabs>
        <w:ind w:left="5760" w:hanging="360"/>
      </w:pPr>
      <w:rPr>
        <w:rFonts w:ascii="Arial" w:hAnsi="Arial" w:hint="default"/>
      </w:rPr>
    </w:lvl>
    <w:lvl w:ilvl="8" w:tplc="E1700B20" w:tentative="1">
      <w:start w:val="1"/>
      <w:numFmt w:val="bullet"/>
      <w:lvlText w:val="•"/>
      <w:lvlJc w:val="left"/>
      <w:pPr>
        <w:tabs>
          <w:tab w:val="num" w:pos="6480"/>
        </w:tabs>
        <w:ind w:left="6480" w:hanging="360"/>
      </w:pPr>
      <w:rPr>
        <w:rFonts w:ascii="Arial" w:hAnsi="Arial" w:hint="default"/>
      </w:rPr>
    </w:lvl>
  </w:abstractNum>
  <w:abstractNum w:abstractNumId="1">
    <w:nsid w:val="279E1E61"/>
    <w:multiLevelType w:val="hybridMultilevel"/>
    <w:tmpl w:val="41C6C4A8"/>
    <w:lvl w:ilvl="0" w:tplc="D3A26B6A">
      <w:start w:val="1"/>
      <w:numFmt w:val="bullet"/>
      <w:lvlText w:val="•"/>
      <w:lvlJc w:val="left"/>
      <w:pPr>
        <w:tabs>
          <w:tab w:val="num" w:pos="720"/>
        </w:tabs>
        <w:ind w:left="720" w:hanging="360"/>
      </w:pPr>
      <w:rPr>
        <w:rFonts w:ascii="Arial" w:hAnsi="Arial" w:hint="default"/>
      </w:rPr>
    </w:lvl>
    <w:lvl w:ilvl="1" w:tplc="593A9B1E" w:tentative="1">
      <w:start w:val="1"/>
      <w:numFmt w:val="bullet"/>
      <w:lvlText w:val="•"/>
      <w:lvlJc w:val="left"/>
      <w:pPr>
        <w:tabs>
          <w:tab w:val="num" w:pos="1440"/>
        </w:tabs>
        <w:ind w:left="1440" w:hanging="360"/>
      </w:pPr>
      <w:rPr>
        <w:rFonts w:ascii="Arial" w:hAnsi="Arial" w:hint="default"/>
      </w:rPr>
    </w:lvl>
    <w:lvl w:ilvl="2" w:tplc="6700D040" w:tentative="1">
      <w:start w:val="1"/>
      <w:numFmt w:val="bullet"/>
      <w:lvlText w:val="•"/>
      <w:lvlJc w:val="left"/>
      <w:pPr>
        <w:tabs>
          <w:tab w:val="num" w:pos="2160"/>
        </w:tabs>
        <w:ind w:left="2160" w:hanging="360"/>
      </w:pPr>
      <w:rPr>
        <w:rFonts w:ascii="Arial" w:hAnsi="Arial" w:hint="default"/>
      </w:rPr>
    </w:lvl>
    <w:lvl w:ilvl="3" w:tplc="D93444D8" w:tentative="1">
      <w:start w:val="1"/>
      <w:numFmt w:val="bullet"/>
      <w:lvlText w:val="•"/>
      <w:lvlJc w:val="left"/>
      <w:pPr>
        <w:tabs>
          <w:tab w:val="num" w:pos="2880"/>
        </w:tabs>
        <w:ind w:left="2880" w:hanging="360"/>
      </w:pPr>
      <w:rPr>
        <w:rFonts w:ascii="Arial" w:hAnsi="Arial" w:hint="default"/>
      </w:rPr>
    </w:lvl>
    <w:lvl w:ilvl="4" w:tplc="7206E8B4" w:tentative="1">
      <w:start w:val="1"/>
      <w:numFmt w:val="bullet"/>
      <w:lvlText w:val="•"/>
      <w:lvlJc w:val="left"/>
      <w:pPr>
        <w:tabs>
          <w:tab w:val="num" w:pos="3600"/>
        </w:tabs>
        <w:ind w:left="3600" w:hanging="360"/>
      </w:pPr>
      <w:rPr>
        <w:rFonts w:ascii="Arial" w:hAnsi="Arial" w:hint="default"/>
      </w:rPr>
    </w:lvl>
    <w:lvl w:ilvl="5" w:tplc="EBE8E1EE" w:tentative="1">
      <w:start w:val="1"/>
      <w:numFmt w:val="bullet"/>
      <w:lvlText w:val="•"/>
      <w:lvlJc w:val="left"/>
      <w:pPr>
        <w:tabs>
          <w:tab w:val="num" w:pos="4320"/>
        </w:tabs>
        <w:ind w:left="4320" w:hanging="360"/>
      </w:pPr>
      <w:rPr>
        <w:rFonts w:ascii="Arial" w:hAnsi="Arial" w:hint="default"/>
      </w:rPr>
    </w:lvl>
    <w:lvl w:ilvl="6" w:tplc="0F8005EE" w:tentative="1">
      <w:start w:val="1"/>
      <w:numFmt w:val="bullet"/>
      <w:lvlText w:val="•"/>
      <w:lvlJc w:val="left"/>
      <w:pPr>
        <w:tabs>
          <w:tab w:val="num" w:pos="5040"/>
        </w:tabs>
        <w:ind w:left="5040" w:hanging="360"/>
      </w:pPr>
      <w:rPr>
        <w:rFonts w:ascii="Arial" w:hAnsi="Arial" w:hint="default"/>
      </w:rPr>
    </w:lvl>
    <w:lvl w:ilvl="7" w:tplc="E3D2B1C6" w:tentative="1">
      <w:start w:val="1"/>
      <w:numFmt w:val="bullet"/>
      <w:lvlText w:val="•"/>
      <w:lvlJc w:val="left"/>
      <w:pPr>
        <w:tabs>
          <w:tab w:val="num" w:pos="5760"/>
        </w:tabs>
        <w:ind w:left="5760" w:hanging="360"/>
      </w:pPr>
      <w:rPr>
        <w:rFonts w:ascii="Arial" w:hAnsi="Arial" w:hint="default"/>
      </w:rPr>
    </w:lvl>
    <w:lvl w:ilvl="8" w:tplc="8F1245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FE"/>
    <w:rsid w:val="0002786B"/>
    <w:rsid w:val="000A64AE"/>
    <w:rsid w:val="0013281B"/>
    <w:rsid w:val="00157876"/>
    <w:rsid w:val="00506EB2"/>
    <w:rsid w:val="0079601C"/>
    <w:rsid w:val="007F06FE"/>
    <w:rsid w:val="0089260F"/>
    <w:rsid w:val="009E2BE6"/>
    <w:rsid w:val="00A67472"/>
    <w:rsid w:val="00A909A4"/>
    <w:rsid w:val="00C601C2"/>
    <w:rsid w:val="00DD29B8"/>
    <w:rsid w:val="00DE14FB"/>
    <w:rsid w:val="00E8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255D6D6-E125-4428-B1A4-229D0567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06FE"/>
  </w:style>
  <w:style w:type="character" w:customStyle="1" w:styleId="FootnoteTextChar">
    <w:name w:val="Footnote Text Char"/>
    <w:basedOn w:val="DefaultParagraphFont"/>
    <w:link w:val="FootnoteText"/>
    <w:uiPriority w:val="99"/>
    <w:rsid w:val="007F06FE"/>
  </w:style>
  <w:style w:type="character" w:styleId="FootnoteReference">
    <w:name w:val="footnote reference"/>
    <w:basedOn w:val="DefaultParagraphFont"/>
    <w:uiPriority w:val="99"/>
    <w:unhideWhenUsed/>
    <w:rsid w:val="007F06FE"/>
    <w:rPr>
      <w:vertAlign w:val="superscript"/>
    </w:rPr>
  </w:style>
  <w:style w:type="paragraph" w:styleId="ListParagraph">
    <w:name w:val="List Paragraph"/>
    <w:basedOn w:val="Normal"/>
    <w:uiPriority w:val="34"/>
    <w:qFormat/>
    <w:rsid w:val="009E2BE6"/>
    <w:pPr>
      <w:ind w:left="720"/>
      <w:contextualSpacing/>
    </w:pPr>
    <w:rPr>
      <w:rFonts w:ascii="Times" w:hAnsi="Times"/>
      <w:sz w:val="20"/>
      <w:szCs w:val="20"/>
      <w:lang w:val="en-GB"/>
    </w:rPr>
  </w:style>
  <w:style w:type="character" w:customStyle="1" w:styleId="Hyperlink1">
    <w:name w:val="Hyperlink1"/>
    <w:basedOn w:val="DefaultParagraphFont"/>
    <w:uiPriority w:val="99"/>
    <w:unhideWhenUsed/>
    <w:rsid w:val="0002786B"/>
    <w:rPr>
      <w:color w:val="0000FF"/>
      <w:u w:val="single"/>
    </w:rPr>
  </w:style>
  <w:style w:type="table" w:styleId="TableGrid">
    <w:name w:val="Table Grid"/>
    <w:basedOn w:val="TableNormal"/>
    <w:uiPriority w:val="59"/>
    <w:rsid w:val="0002786B"/>
    <w:rPr>
      <w:rFonts w:ascii="Arial" w:eastAsia="Calibri" w:hAnsi="Arial"/>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2786B"/>
    <w:rPr>
      <w:rFonts w:ascii="Arial" w:eastAsia="Calibri" w:hAnsi="Arial"/>
      <w:sz w:val="20"/>
      <w:szCs w:val="20"/>
      <w:lang w:val="en-GB"/>
    </w:rPr>
  </w:style>
  <w:style w:type="character" w:customStyle="1" w:styleId="EndnoteTextChar">
    <w:name w:val="Endnote Text Char"/>
    <w:basedOn w:val="DefaultParagraphFont"/>
    <w:link w:val="EndnoteText"/>
    <w:uiPriority w:val="99"/>
    <w:semiHidden/>
    <w:rsid w:val="0002786B"/>
    <w:rPr>
      <w:rFonts w:ascii="Arial" w:eastAsia="Calibri" w:hAnsi="Arial"/>
      <w:sz w:val="20"/>
      <w:szCs w:val="20"/>
      <w:lang w:val="en-GB"/>
    </w:rPr>
  </w:style>
  <w:style w:type="character" w:styleId="EndnoteReference">
    <w:name w:val="endnote reference"/>
    <w:basedOn w:val="DefaultParagraphFont"/>
    <w:uiPriority w:val="99"/>
    <w:semiHidden/>
    <w:unhideWhenUsed/>
    <w:rsid w:val="0002786B"/>
    <w:rPr>
      <w:vertAlign w:val="superscript"/>
    </w:rPr>
  </w:style>
  <w:style w:type="character" w:styleId="Hyperlink">
    <w:name w:val="Hyperlink"/>
    <w:basedOn w:val="DefaultParagraphFont"/>
    <w:uiPriority w:val="99"/>
    <w:unhideWhenUsed/>
    <w:rsid w:val="0002786B"/>
    <w:rPr>
      <w:color w:val="0000FF" w:themeColor="hyperlink"/>
      <w:u w:val="single"/>
    </w:rPr>
  </w:style>
  <w:style w:type="paragraph" w:styleId="BalloonText">
    <w:name w:val="Balloon Text"/>
    <w:basedOn w:val="Normal"/>
    <w:link w:val="BalloonTextChar"/>
    <w:uiPriority w:val="99"/>
    <w:semiHidden/>
    <w:unhideWhenUsed/>
    <w:rsid w:val="0079601C"/>
    <w:rPr>
      <w:rFonts w:ascii="Tahoma" w:hAnsi="Tahoma" w:cs="Tahoma"/>
      <w:sz w:val="16"/>
      <w:szCs w:val="16"/>
    </w:rPr>
  </w:style>
  <w:style w:type="character" w:customStyle="1" w:styleId="BalloonTextChar">
    <w:name w:val="Balloon Text Char"/>
    <w:basedOn w:val="DefaultParagraphFont"/>
    <w:link w:val="BalloonText"/>
    <w:uiPriority w:val="99"/>
    <w:semiHidden/>
    <w:rsid w:val="00796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4252">
      <w:bodyDiv w:val="1"/>
      <w:marLeft w:val="0"/>
      <w:marRight w:val="0"/>
      <w:marTop w:val="0"/>
      <w:marBottom w:val="0"/>
      <w:divBdr>
        <w:top w:val="none" w:sz="0" w:space="0" w:color="auto"/>
        <w:left w:val="none" w:sz="0" w:space="0" w:color="auto"/>
        <w:bottom w:val="none" w:sz="0" w:space="0" w:color="auto"/>
        <w:right w:val="none" w:sz="0" w:space="0" w:color="auto"/>
      </w:divBdr>
      <w:divsChild>
        <w:div w:id="936597266">
          <w:marLeft w:val="547"/>
          <w:marRight w:val="0"/>
          <w:marTop w:val="115"/>
          <w:marBottom w:val="0"/>
          <w:divBdr>
            <w:top w:val="none" w:sz="0" w:space="0" w:color="auto"/>
            <w:left w:val="none" w:sz="0" w:space="0" w:color="auto"/>
            <w:bottom w:val="none" w:sz="0" w:space="0" w:color="auto"/>
            <w:right w:val="none" w:sz="0" w:space="0" w:color="auto"/>
          </w:divBdr>
        </w:div>
        <w:div w:id="169679022">
          <w:marLeft w:val="547"/>
          <w:marRight w:val="0"/>
          <w:marTop w:val="115"/>
          <w:marBottom w:val="0"/>
          <w:divBdr>
            <w:top w:val="none" w:sz="0" w:space="0" w:color="auto"/>
            <w:left w:val="none" w:sz="0" w:space="0" w:color="auto"/>
            <w:bottom w:val="none" w:sz="0" w:space="0" w:color="auto"/>
            <w:right w:val="none" w:sz="0" w:space="0" w:color="auto"/>
          </w:divBdr>
        </w:div>
        <w:div w:id="2008747072">
          <w:marLeft w:val="547"/>
          <w:marRight w:val="0"/>
          <w:marTop w:val="115"/>
          <w:marBottom w:val="0"/>
          <w:divBdr>
            <w:top w:val="none" w:sz="0" w:space="0" w:color="auto"/>
            <w:left w:val="none" w:sz="0" w:space="0" w:color="auto"/>
            <w:bottom w:val="none" w:sz="0" w:space="0" w:color="auto"/>
            <w:right w:val="none" w:sz="0" w:space="0" w:color="auto"/>
          </w:divBdr>
        </w:div>
      </w:divsChild>
    </w:div>
    <w:div w:id="349529379">
      <w:bodyDiv w:val="1"/>
      <w:marLeft w:val="0"/>
      <w:marRight w:val="0"/>
      <w:marTop w:val="0"/>
      <w:marBottom w:val="0"/>
      <w:divBdr>
        <w:top w:val="none" w:sz="0" w:space="0" w:color="auto"/>
        <w:left w:val="none" w:sz="0" w:space="0" w:color="auto"/>
        <w:bottom w:val="none" w:sz="0" w:space="0" w:color="auto"/>
        <w:right w:val="none" w:sz="0" w:space="0" w:color="auto"/>
      </w:divBdr>
      <w:divsChild>
        <w:div w:id="604072994">
          <w:marLeft w:val="547"/>
          <w:marRight w:val="0"/>
          <w:marTop w:val="115"/>
          <w:marBottom w:val="0"/>
          <w:divBdr>
            <w:top w:val="none" w:sz="0" w:space="0" w:color="auto"/>
            <w:left w:val="none" w:sz="0" w:space="0" w:color="auto"/>
            <w:bottom w:val="none" w:sz="0" w:space="0" w:color="auto"/>
            <w:right w:val="none" w:sz="0" w:space="0" w:color="auto"/>
          </w:divBdr>
        </w:div>
        <w:div w:id="605578458">
          <w:marLeft w:val="547"/>
          <w:marRight w:val="0"/>
          <w:marTop w:val="115"/>
          <w:marBottom w:val="0"/>
          <w:divBdr>
            <w:top w:val="none" w:sz="0" w:space="0" w:color="auto"/>
            <w:left w:val="none" w:sz="0" w:space="0" w:color="auto"/>
            <w:bottom w:val="none" w:sz="0" w:space="0" w:color="auto"/>
            <w:right w:val="none" w:sz="0" w:space="0" w:color="auto"/>
          </w:divBdr>
        </w:div>
      </w:divsChild>
    </w:div>
    <w:div w:id="1607736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haslam@nexusp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ur-lex.europa.eu/LexUriServ/LexUriServ.do?uri=OJ:L:2008:285:0009:0012:EN:PDF" TargetMode="External"/><Relationship Id="rId1" Type="http://schemas.openxmlformats.org/officeDocument/2006/relationships/hyperlink" Target="http://www.hscic.gov.uk/catalogue/PUB13218/HSE2012-Ch10-Adult-BM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Mason</dc:creator>
  <cp:lastModifiedBy>Isla Haslam</cp:lastModifiedBy>
  <cp:revision>3</cp:revision>
  <dcterms:created xsi:type="dcterms:W3CDTF">2015-01-20T13:38:00Z</dcterms:created>
  <dcterms:modified xsi:type="dcterms:W3CDTF">2015-01-20T13:39:00Z</dcterms:modified>
</cp:coreProperties>
</file>