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1" w:rsidRPr="008D107F" w:rsidRDefault="008D107F" w:rsidP="006C1100">
      <w:pPr>
        <w:jc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  <w:lang w:val="en-GB"/>
        </w:rPr>
      </w:pPr>
      <w:r w:rsidRPr="008D107F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  <w:lang w:val="en-GB"/>
        </w:rPr>
        <w:t>TEA UP FOR</w:t>
      </w:r>
      <w:bookmarkStart w:id="0" w:name="_GoBack"/>
      <w:bookmarkEnd w:id="0"/>
      <w:r w:rsidRPr="008D107F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  <w:lang w:val="en-GB"/>
        </w:rPr>
        <w:t xml:space="preserve"> GOOD HEALTH</w:t>
      </w:r>
    </w:p>
    <w:p w:rsidR="008D107F" w:rsidRDefault="008D107F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E94201" w:rsidRPr="008D107F" w:rsidRDefault="00E94201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Drinking tea is associated with reduced risk of mortality, cardiovascular disease (CVD) and cancer according to a new meta-analysis published in the British Journal of Nutrition.</w:t>
      </w:r>
      <w:r w:rsidRPr="008D107F">
        <w:rPr>
          <w:rStyle w:val="FootnoteReference"/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footnoteReference w:id="1"/>
      </w:r>
    </w:p>
    <w:p w:rsidR="00E94201" w:rsidRPr="008D107F" w:rsidRDefault="00E94201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E94201" w:rsidRDefault="008D107F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Commenting on this new research, dietitian Dr Carrie Ruxton from the Tea Advisory Panel notes: “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This was a meta-analysis of 18 prospective studies which evaluated the influence of black and green tea consumption on all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causes of death, </w:t>
      </w:r>
      <w:r w:rsidR="006C110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cardio vascular disease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and cancer.</w:t>
      </w:r>
      <w:r>
        <w:rPr>
          <w:rStyle w:val="FootnoteReference"/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footnoteReference w:id="2"/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:rsidR="008D107F" w:rsidRPr="008D107F" w:rsidRDefault="008D107F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E94201" w:rsidRPr="008D107F" w:rsidRDefault="008D107F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“With regards to cardio vascular disease (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CVD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)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 mortality, ove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rall risk was reduced by 12% for </w:t>
      </w:r>
      <w:r w:rsidR="006C110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those black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tea drinkers recognised as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largest consuming group of the</w:t>
      </w:r>
      <w:r w:rsidR="006C110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infusion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. The highest green tea consumers had a significant 33% reduction in CVD mortality compared with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consumers with the lowest tea consumption habits.</w:t>
      </w:r>
      <w:r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C110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For </w:t>
      </w:r>
      <w:r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cancer deaths, the overall risk was reduced by 21% in the </w:t>
      </w:r>
      <w:r w:rsidR="006C1100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highest </w:t>
      </w:r>
      <w:r w:rsidR="006C110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tea consuming group </w:t>
      </w:r>
      <w:r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compared with the lowest</w:t>
      </w:r>
      <w:r w:rsidR="006C110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(black tea)</w:t>
      </w:r>
      <w:r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:rsidR="00E94201" w:rsidRPr="008D107F" w:rsidRDefault="00E94201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894045" w:rsidRPr="008D107F" w:rsidRDefault="006C1100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“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Both black and green tea reduced </w:t>
      </w:r>
      <w:r w:rsidRPr="006C1100">
        <w:rPr>
          <w:rFonts w:asciiTheme="majorHAnsi" w:eastAsia="Times New Roman" w:hAnsiTheme="majorHAnsi" w:cs="Times New Roman"/>
          <w:i/>
          <w:color w:val="000000"/>
          <w:sz w:val="22"/>
          <w:szCs w:val="22"/>
          <w:shd w:val="clear" w:color="auto" w:fill="FFFFFF"/>
          <w:lang w:val="en-GB"/>
        </w:rPr>
        <w:t xml:space="preserve">all-cause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mortality. High black tea consumption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drinkers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compared with low consumption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tea drinkers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reduced the risk of death by 10%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for those consuming black tea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and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20% among those consuming green tea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.</w:t>
      </w:r>
    </w:p>
    <w:p w:rsidR="00894045" w:rsidRPr="008D107F" w:rsidRDefault="00894045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894045" w:rsidRPr="008D107F" w:rsidRDefault="006C1100" w:rsidP="008D107F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“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O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ne 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extra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cup per d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ay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of green tea was associated with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a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5 % lower risk of CVD mortality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,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4A4186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while one extra cup of </w:t>
      </w:r>
      <w:r w:rsidR="004A4186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lastRenderedPageBreak/>
        <w:t xml:space="preserve">black tea was associated with an 8% lower risk of CVD mortality.  </w:t>
      </w:r>
    </w:p>
    <w:p w:rsidR="00894045" w:rsidRPr="008D107F" w:rsidRDefault="00894045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E94201" w:rsidRPr="008D107F" w:rsidRDefault="006C1100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“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In summary, g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reen tea consumption was 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significantly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associated with 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reduced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CVD 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deaths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and all-cause mortality, whereas black tea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consumption was significantly inversely associated with 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death from cancer </w:t>
      </w:r>
      <w:r w:rsidR="00E94201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and all-cause mortality.</w:t>
      </w:r>
    </w:p>
    <w:p w:rsidR="00894045" w:rsidRPr="008D107F" w:rsidRDefault="00894045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6C1100" w:rsidRDefault="006C1100" w:rsidP="00E94201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“</w:t>
      </w:r>
      <w:r w:rsidR="00894045" w:rsidRPr="008D107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Evidence is growing that tea, both black and green, is a healthy drink associated with reduced risk of disease. Black tea is a traditional drink in the UK and together with green tea can be consumed for overall well-being.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So tea up for good health.”</w:t>
      </w:r>
    </w:p>
    <w:p w:rsidR="006C1100" w:rsidRDefault="006C1100" w:rsidP="006C1100">
      <w:pPr>
        <w:jc w:val="center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-ends-</w:t>
      </w:r>
    </w:p>
    <w:p w:rsidR="006C1100" w:rsidRDefault="006C1100" w:rsidP="006C1100">
      <w:pPr>
        <w:jc w:val="center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:rsidR="006C1100" w:rsidRPr="00611EC6" w:rsidRDefault="006C1100" w:rsidP="006C1100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Arial"/>
          <w:color w:val="000000"/>
          <w:sz w:val="22"/>
          <w:szCs w:val="22"/>
          <w:lang w:val="en-GB"/>
        </w:rPr>
      </w:pPr>
    </w:p>
    <w:p w:rsidR="006C1100" w:rsidRPr="00611EC6" w:rsidRDefault="006C1100" w:rsidP="006C110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sz w:val="22"/>
          <w:szCs w:val="22"/>
          <w:lang w:val="en-GB" w:eastAsia="en-GB"/>
        </w:rPr>
      </w:pPr>
      <w:r w:rsidRPr="00611EC6">
        <w:rPr>
          <w:rFonts w:ascii="Calibri" w:eastAsia="Times New Roman" w:hAnsi="Calibri" w:cs="Arial"/>
          <w:b/>
          <w:sz w:val="22"/>
          <w:szCs w:val="22"/>
          <w:lang w:val="en-GB" w:eastAsia="en-GB"/>
        </w:rPr>
        <w:t xml:space="preserve">The Tea Advisory Panel: </w:t>
      </w:r>
      <w:r w:rsidRPr="00611EC6">
        <w:rPr>
          <w:rFonts w:ascii="Calibri" w:eastAsia="Times New Roman" w:hAnsi="Calibri" w:cs="Arial"/>
          <w:color w:val="000000"/>
          <w:sz w:val="22"/>
          <w:szCs w:val="22"/>
          <w:lang w:val="en-GB" w:eastAsia="en-GB"/>
        </w:rPr>
        <w:t xml:space="preserve">The Tea Advisory Panel is supported by an unrestricted educational grant from the </w:t>
      </w:r>
      <w:r w:rsidRPr="00611EC6">
        <w:rPr>
          <w:rFonts w:ascii="Calibri" w:eastAsia="Times New Roman" w:hAnsi="Calibri" w:cs="Arial"/>
          <w:b/>
          <w:color w:val="000000"/>
          <w:sz w:val="22"/>
          <w:szCs w:val="22"/>
          <w:lang w:val="en-GB" w:eastAsia="en-GB"/>
        </w:rPr>
        <w:t>UK TEA &amp; INFUSIONS ASSOCIATION</w:t>
      </w:r>
      <w:r w:rsidRPr="00611EC6">
        <w:rPr>
          <w:rFonts w:ascii="Calibri" w:eastAsia="Times New Roman" w:hAnsi="Calibri" w:cs="Arial"/>
          <w:color w:val="000000"/>
          <w:sz w:val="22"/>
          <w:szCs w:val="22"/>
          <w:lang w:val="en-GB" w:eastAsia="en-GB"/>
        </w:rPr>
        <w:t xml:space="preserve">, the trade association for the UK tea industry. The Panel has been created to provide media with impartial information regarding the health benefits of tea. Panel members include nutritionists; dieticians and doctors.  </w:t>
      </w:r>
    </w:p>
    <w:p w:rsidR="006C1100" w:rsidRPr="00611EC6" w:rsidRDefault="006C1100" w:rsidP="006C110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Times"/>
          <w:sz w:val="22"/>
          <w:szCs w:val="22"/>
        </w:rPr>
      </w:pPr>
    </w:p>
    <w:p w:rsidR="006C1100" w:rsidRPr="00611EC6" w:rsidRDefault="006C1100" w:rsidP="006C1100">
      <w:pPr>
        <w:rPr>
          <w:rFonts w:ascii="Calibri" w:eastAsia="Times New Roman" w:hAnsi="Calibri" w:cs="Arial"/>
          <w:sz w:val="22"/>
          <w:szCs w:val="20"/>
          <w:lang w:val="en-GB" w:eastAsia="en-GB"/>
        </w:rPr>
      </w:pPr>
      <w:r w:rsidRPr="00611EC6">
        <w:rPr>
          <w:rFonts w:ascii="Calibri" w:eastAsia="Times New Roman" w:hAnsi="Calibri" w:cs="Arial"/>
          <w:color w:val="000000"/>
          <w:sz w:val="22"/>
          <w:szCs w:val="20"/>
          <w:lang w:val="en-GB" w:eastAsia="en-GB"/>
        </w:rPr>
        <w:t>For further information please</w:t>
      </w:r>
      <w:r w:rsidRPr="00611EC6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contact: </w:t>
      </w:r>
    </w:p>
    <w:p w:rsidR="006C1100" w:rsidRPr="002C527F" w:rsidRDefault="006C1100" w:rsidP="006C1100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sz w:val="22"/>
          <w:szCs w:val="20"/>
          <w:lang w:val="en-GB" w:eastAsia="en-GB"/>
        </w:rPr>
      </w:pPr>
      <w:r w:rsidRPr="002C527F">
        <w:rPr>
          <w:rFonts w:ascii="Calibri" w:eastAsia="Times New Roman" w:hAnsi="Calibri" w:cs="Arial"/>
          <w:b/>
          <w:sz w:val="22"/>
          <w:szCs w:val="20"/>
          <w:lang w:val="en-GB" w:eastAsia="en-GB"/>
        </w:rPr>
        <w:t>Nicky Smith:</w:t>
      </w:r>
      <w:r w:rsidRPr="002C527F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nicky.smith@nexuspr.com/ 0207 052 8850</w:t>
      </w:r>
    </w:p>
    <w:p w:rsidR="006C1100" w:rsidRPr="002C527F" w:rsidRDefault="006C1100" w:rsidP="006C1100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sz w:val="22"/>
          <w:szCs w:val="20"/>
          <w:lang w:val="en-GB" w:eastAsia="en-GB"/>
        </w:rPr>
      </w:pPr>
      <w:r w:rsidRPr="002C527F">
        <w:rPr>
          <w:rFonts w:ascii="Calibri" w:eastAsia="Times New Roman" w:hAnsi="Calibri" w:cs="Arial"/>
          <w:b/>
          <w:sz w:val="22"/>
          <w:szCs w:val="20"/>
          <w:lang w:val="en-GB" w:eastAsia="en-GB"/>
        </w:rPr>
        <w:t xml:space="preserve">Isla Haslam: </w:t>
      </w:r>
      <w:r w:rsidRPr="002C527F">
        <w:rPr>
          <w:rFonts w:ascii="Calibri" w:eastAsia="Times New Roman" w:hAnsi="Calibri" w:cs="Arial"/>
          <w:sz w:val="22"/>
          <w:szCs w:val="20"/>
          <w:lang w:val="en-GB" w:eastAsia="en-GB"/>
        </w:rPr>
        <w:t>isla.haslam@nexuspr.com / 0207528880,</w:t>
      </w:r>
    </w:p>
    <w:p w:rsidR="006C1100" w:rsidRPr="002C527F" w:rsidRDefault="006C1100" w:rsidP="006C1100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sz w:val="22"/>
          <w:szCs w:val="20"/>
          <w:lang w:val="en-GB" w:eastAsia="en-GB"/>
        </w:rPr>
      </w:pPr>
      <w:r w:rsidRPr="002C527F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visit </w:t>
      </w:r>
      <w:hyperlink r:id="rId9" w:history="1">
        <w:r w:rsidRPr="002C527F">
          <w:rPr>
            <w:rFonts w:ascii="Calibri" w:eastAsia="Times New Roman" w:hAnsi="Calibri" w:cs="Arial"/>
            <w:color w:val="0000FF"/>
            <w:sz w:val="22"/>
            <w:szCs w:val="20"/>
            <w:u w:val="single"/>
            <w:lang w:val="en-GB" w:eastAsia="en-GB"/>
          </w:rPr>
          <w:t>http://www.teaadvisorypanel.com/</w:t>
        </w:r>
      </w:hyperlink>
      <w:r w:rsidRPr="002C527F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#tap</w:t>
      </w:r>
    </w:p>
    <w:p w:rsidR="006C1100" w:rsidRPr="00611EC6" w:rsidRDefault="006C1100" w:rsidP="006C1100">
      <w:pPr>
        <w:rPr>
          <w:rFonts w:ascii="Calibri" w:eastAsia="MS Mincho" w:hAnsi="Calibri" w:cs="Times New Roman"/>
          <w:sz w:val="22"/>
          <w:szCs w:val="22"/>
        </w:rPr>
      </w:pPr>
    </w:p>
    <w:p w:rsidR="006C1100" w:rsidRPr="008D107F" w:rsidRDefault="006C1100" w:rsidP="006C1100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:rsidR="0013281B" w:rsidRPr="008D107F" w:rsidRDefault="0013281B">
      <w:pPr>
        <w:rPr>
          <w:rFonts w:asciiTheme="majorHAnsi" w:hAnsiTheme="majorHAnsi"/>
          <w:sz w:val="22"/>
          <w:szCs w:val="22"/>
        </w:rPr>
      </w:pPr>
    </w:p>
    <w:sectPr w:rsidR="0013281B" w:rsidRPr="008D107F" w:rsidSect="008D107F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01" w:rsidRDefault="00E94201" w:rsidP="00E94201">
      <w:r>
        <w:separator/>
      </w:r>
    </w:p>
  </w:endnote>
  <w:endnote w:type="continuationSeparator" w:id="0">
    <w:p w:rsidR="00E94201" w:rsidRDefault="00E94201" w:rsidP="00E9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01" w:rsidRDefault="00E94201" w:rsidP="00E94201">
      <w:r>
        <w:separator/>
      </w:r>
    </w:p>
  </w:footnote>
  <w:footnote w:type="continuationSeparator" w:id="0">
    <w:p w:rsidR="00E94201" w:rsidRDefault="00E94201" w:rsidP="00E94201">
      <w:r>
        <w:continuationSeparator/>
      </w:r>
    </w:p>
  </w:footnote>
  <w:footnote w:id="1">
    <w:p w:rsidR="00E94201" w:rsidRPr="008D107F" w:rsidRDefault="00E94201" w:rsidP="008D107F">
      <w:pPr>
        <w:shd w:val="clear" w:color="auto" w:fill="FFFFFF"/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 w:rsidRPr="008D107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8D107F">
        <w:rPr>
          <w:rFonts w:asciiTheme="majorHAnsi" w:hAnsiTheme="majorHAnsi"/>
          <w:sz w:val="20"/>
          <w:szCs w:val="20"/>
        </w:rPr>
        <w:t xml:space="preserve"> </w:t>
      </w:r>
      <w:hyperlink r:id="rId1" w:history="1">
        <w:r w:rsidRPr="008D107F">
          <w:rPr>
            <w:rFonts w:asciiTheme="majorHAnsi" w:eastAsia="Times New Roman" w:hAnsiTheme="majorHAnsi" w:cs="Times New Roman"/>
            <w:sz w:val="20"/>
            <w:szCs w:val="20"/>
            <w:lang w:val="en-GB"/>
          </w:rPr>
          <w:t>Tang J</w:t>
        </w:r>
      </w:hyperlink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, </w:t>
      </w:r>
      <w:hyperlink r:id="rId2" w:history="1">
        <w:r w:rsidRPr="008D107F">
          <w:rPr>
            <w:rFonts w:asciiTheme="majorHAnsi" w:eastAsia="Times New Roman" w:hAnsiTheme="majorHAnsi" w:cs="Times New Roman"/>
            <w:sz w:val="20"/>
            <w:szCs w:val="20"/>
            <w:lang w:val="en-GB"/>
          </w:rPr>
          <w:t>Zheng JS</w:t>
        </w:r>
      </w:hyperlink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, </w:t>
      </w:r>
      <w:hyperlink r:id="rId3" w:history="1">
        <w:r w:rsidRPr="008D107F">
          <w:rPr>
            <w:rFonts w:asciiTheme="majorHAnsi" w:eastAsia="Times New Roman" w:hAnsiTheme="majorHAnsi" w:cs="Times New Roman"/>
            <w:sz w:val="20"/>
            <w:szCs w:val="20"/>
            <w:lang w:val="en-GB"/>
          </w:rPr>
          <w:t>Fang L</w:t>
        </w:r>
      </w:hyperlink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, </w:t>
      </w:r>
      <w:proofErr w:type="spellStart"/>
      <w:r w:rsidR="006C1100" w:rsidRPr="008D107F">
        <w:rPr>
          <w:rFonts w:asciiTheme="majorHAnsi" w:hAnsiTheme="majorHAnsi"/>
          <w:sz w:val="20"/>
          <w:szCs w:val="20"/>
        </w:rPr>
        <w:fldChar w:fldCharType="begin"/>
      </w:r>
      <w:r w:rsidR="006C1100" w:rsidRPr="008D107F">
        <w:rPr>
          <w:rFonts w:asciiTheme="majorHAnsi" w:hAnsiTheme="majorHAnsi"/>
          <w:sz w:val="20"/>
          <w:szCs w:val="20"/>
        </w:rPr>
        <w:instrText xml:space="preserve"> HYPERLINK "http://www.ncbi.nlm.nih.gov/pubmed/?term=Jin%20Y%5BAuthor%5D&amp;cauthor=true&amp;cauthor_uid=2620</w:instrText>
      </w:r>
      <w:r w:rsidR="006C1100" w:rsidRPr="008D107F">
        <w:rPr>
          <w:rFonts w:asciiTheme="majorHAnsi" w:hAnsiTheme="majorHAnsi"/>
          <w:sz w:val="20"/>
          <w:szCs w:val="20"/>
        </w:rPr>
        <w:instrText xml:space="preserve">2661" </w:instrText>
      </w:r>
      <w:r w:rsidR="006C1100" w:rsidRPr="008D107F">
        <w:rPr>
          <w:rFonts w:asciiTheme="majorHAnsi" w:hAnsiTheme="majorHAnsi"/>
          <w:sz w:val="20"/>
          <w:szCs w:val="20"/>
        </w:rPr>
        <w:fldChar w:fldCharType="separate"/>
      </w:r>
      <w:proofErr w:type="spellEnd"/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Jin Y</w:t>
      </w:r>
      <w:r w:rsidR="006C1100"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fldChar w:fldCharType="end"/>
      </w:r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, </w:t>
      </w:r>
      <w:proofErr w:type="spellStart"/>
      <w:r w:rsidR="006C1100" w:rsidRPr="008D107F">
        <w:rPr>
          <w:rFonts w:asciiTheme="majorHAnsi" w:hAnsiTheme="majorHAnsi"/>
          <w:sz w:val="20"/>
          <w:szCs w:val="20"/>
        </w:rPr>
        <w:fldChar w:fldCharType="begin"/>
      </w:r>
      <w:r w:rsidR="006C1100" w:rsidRPr="008D107F">
        <w:rPr>
          <w:rFonts w:asciiTheme="majorHAnsi" w:hAnsiTheme="majorHAnsi"/>
          <w:sz w:val="20"/>
          <w:szCs w:val="20"/>
        </w:rPr>
        <w:instrText xml:space="preserve"> HYPERLINK "http://www.ncbi.nlm.nih.gov/pubmed/?term=Cai%20W%5BAuthor%5D&amp;cauthor=true&amp;cauthor_uid=26202661" </w:instrText>
      </w:r>
      <w:r w:rsidR="006C1100" w:rsidRPr="008D107F">
        <w:rPr>
          <w:rFonts w:asciiTheme="majorHAnsi" w:hAnsiTheme="majorHAnsi"/>
          <w:sz w:val="20"/>
          <w:szCs w:val="20"/>
        </w:rPr>
        <w:fldChar w:fldCharType="separate"/>
      </w:r>
      <w:proofErr w:type="spellEnd"/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Cai W</w:t>
      </w:r>
      <w:r w:rsidR="006C1100"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fldChar w:fldCharType="end"/>
      </w:r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, </w:t>
      </w:r>
      <w:hyperlink r:id="rId4" w:history="1">
        <w:r w:rsidRPr="008D107F">
          <w:rPr>
            <w:rFonts w:asciiTheme="majorHAnsi" w:eastAsia="Times New Roman" w:hAnsiTheme="majorHAnsi" w:cs="Times New Roman"/>
            <w:sz w:val="20"/>
            <w:szCs w:val="20"/>
            <w:lang w:val="en-GB"/>
          </w:rPr>
          <w:t>Li D</w:t>
        </w:r>
      </w:hyperlink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. </w:t>
      </w:r>
      <w:r w:rsidRPr="008D107F">
        <w:rPr>
          <w:rFonts w:asciiTheme="majorHAnsi" w:eastAsia="Times New Roman" w:hAnsiTheme="majorHAnsi" w:cs="Times New Roman"/>
          <w:bCs/>
          <w:kern w:val="36"/>
          <w:sz w:val="20"/>
          <w:szCs w:val="20"/>
          <w:lang w:val="en-GB"/>
        </w:rPr>
        <w:t>Tea consumption and mortality of all cancers, CVD and all causes: a meta-analysis of eighteen prospective cohort studies.</w:t>
      </w:r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</w:t>
      </w:r>
      <w:hyperlink r:id="rId5" w:tooltip="The British journal of nutrition." w:history="1">
        <w:r w:rsidRPr="008D107F">
          <w:rPr>
            <w:rFonts w:asciiTheme="majorHAnsi" w:eastAsia="Times New Roman" w:hAnsiTheme="majorHAnsi" w:cs="Times New Roman"/>
            <w:sz w:val="20"/>
            <w:szCs w:val="20"/>
            <w:lang w:val="en-GB"/>
          </w:rPr>
          <w:t>Br J Nutr.</w:t>
        </w:r>
      </w:hyperlink>
      <w:r w:rsidRPr="008D107F">
        <w:rPr>
          <w:rFonts w:asciiTheme="majorHAnsi" w:eastAsia="Times New Roman" w:hAnsiTheme="majorHAnsi" w:cs="Times New Roman"/>
          <w:sz w:val="20"/>
          <w:szCs w:val="20"/>
          <w:lang w:val="en-GB"/>
        </w:rPr>
        <w:t> 2015 Jul 23:1-11. [Epub ahead of print]</w:t>
      </w:r>
    </w:p>
    <w:p w:rsidR="00E94201" w:rsidRPr="008D107F" w:rsidRDefault="00E94201" w:rsidP="008D107F">
      <w:pPr>
        <w:pStyle w:val="FootnoteText"/>
        <w:rPr>
          <w:rFonts w:asciiTheme="majorHAnsi" w:hAnsiTheme="majorHAnsi"/>
          <w:sz w:val="20"/>
          <w:szCs w:val="20"/>
        </w:rPr>
      </w:pPr>
    </w:p>
  </w:footnote>
  <w:footnote w:id="2">
    <w:p w:rsidR="008D107F" w:rsidRPr="008D107F" w:rsidRDefault="008D107F" w:rsidP="008D107F">
      <w:pP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val="en-GB"/>
        </w:rPr>
      </w:pPr>
      <w:r w:rsidRPr="008D107F">
        <w:rPr>
          <w:rStyle w:val="FootnoteReference"/>
          <w:sz w:val="20"/>
          <w:szCs w:val="20"/>
        </w:rPr>
        <w:footnoteRef/>
      </w:r>
      <w:r w:rsidRPr="008D107F">
        <w:rPr>
          <w:sz w:val="20"/>
          <w:szCs w:val="20"/>
        </w:rPr>
        <w:t xml:space="preserve"> </w:t>
      </w:r>
      <w:r w:rsidRPr="008D107F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val="en-GB"/>
        </w:rPr>
        <w:t xml:space="preserve">Overall, there were 12,221 deaths from cancer, 11,306 from CVD and 55,528 deaths from all causes, respectively. </w:t>
      </w:r>
    </w:p>
    <w:p w:rsidR="008D107F" w:rsidRPr="008D107F" w:rsidRDefault="008D107F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399"/>
    <w:multiLevelType w:val="hybridMultilevel"/>
    <w:tmpl w:val="2B608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01"/>
    <w:rsid w:val="0013281B"/>
    <w:rsid w:val="004A4186"/>
    <w:rsid w:val="006C1100"/>
    <w:rsid w:val="00894045"/>
    <w:rsid w:val="008D107F"/>
    <w:rsid w:val="00E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2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4201"/>
  </w:style>
  <w:style w:type="character" w:customStyle="1" w:styleId="highlight">
    <w:name w:val="highlight"/>
    <w:basedOn w:val="DefaultParagraphFont"/>
    <w:rsid w:val="00E94201"/>
  </w:style>
  <w:style w:type="paragraph" w:styleId="FootnoteText">
    <w:name w:val="footnote text"/>
    <w:basedOn w:val="Normal"/>
    <w:link w:val="FootnoteTextChar"/>
    <w:uiPriority w:val="99"/>
    <w:unhideWhenUsed/>
    <w:rsid w:val="00E94201"/>
  </w:style>
  <w:style w:type="character" w:customStyle="1" w:styleId="FootnoteTextChar">
    <w:name w:val="Footnote Text Char"/>
    <w:basedOn w:val="DefaultParagraphFont"/>
    <w:link w:val="FootnoteText"/>
    <w:uiPriority w:val="99"/>
    <w:rsid w:val="00E94201"/>
  </w:style>
  <w:style w:type="character" w:styleId="FootnoteReference">
    <w:name w:val="footnote reference"/>
    <w:basedOn w:val="DefaultParagraphFont"/>
    <w:uiPriority w:val="99"/>
    <w:unhideWhenUsed/>
    <w:rsid w:val="00E942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4201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94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0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2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4201"/>
  </w:style>
  <w:style w:type="character" w:customStyle="1" w:styleId="highlight">
    <w:name w:val="highlight"/>
    <w:basedOn w:val="DefaultParagraphFont"/>
    <w:rsid w:val="00E94201"/>
  </w:style>
  <w:style w:type="paragraph" w:styleId="FootnoteText">
    <w:name w:val="footnote text"/>
    <w:basedOn w:val="Normal"/>
    <w:link w:val="FootnoteTextChar"/>
    <w:uiPriority w:val="99"/>
    <w:unhideWhenUsed/>
    <w:rsid w:val="00E94201"/>
  </w:style>
  <w:style w:type="character" w:customStyle="1" w:styleId="FootnoteTextChar">
    <w:name w:val="Footnote Text Char"/>
    <w:basedOn w:val="DefaultParagraphFont"/>
    <w:link w:val="FootnoteText"/>
    <w:uiPriority w:val="99"/>
    <w:rsid w:val="00E94201"/>
  </w:style>
  <w:style w:type="character" w:styleId="FootnoteReference">
    <w:name w:val="footnote reference"/>
    <w:basedOn w:val="DefaultParagraphFont"/>
    <w:uiPriority w:val="99"/>
    <w:unhideWhenUsed/>
    <w:rsid w:val="00E942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4201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94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0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aadvisorypanel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i.nlm.nih.gov/pubmed/?term=Fang%20L%5BAuthor%5D&amp;cauthor=true&amp;cauthor_uid=26202661" TargetMode="External"/><Relationship Id="rId2" Type="http://schemas.openxmlformats.org/officeDocument/2006/relationships/hyperlink" Target="http://www.ncbi.nlm.nih.gov/pubmed/?term=Zheng%20JS%5BAuthor%5D&amp;cauthor=true&amp;cauthor_uid=26202661" TargetMode="External"/><Relationship Id="rId1" Type="http://schemas.openxmlformats.org/officeDocument/2006/relationships/hyperlink" Target="http://www.ncbi.nlm.nih.gov/pubmed/?term=Tang%20J%5BAuthor%5D&amp;cauthor=true&amp;cauthor_uid=26202661" TargetMode="External"/><Relationship Id="rId5" Type="http://schemas.openxmlformats.org/officeDocument/2006/relationships/hyperlink" Target="http://www.ncbi.nlm.nih.gov/pubmed/26202661" TargetMode="External"/><Relationship Id="rId4" Type="http://schemas.openxmlformats.org/officeDocument/2006/relationships/hyperlink" Target="http://www.ncbi.nlm.nih.gov/pubmed/?term=Li%20D%5BAuthor%5D&amp;cauthor=true&amp;cauthor_uid=2620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DCA0-D04B-4496-96C5-3AAD658C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Mason</dc:creator>
  <cp:lastModifiedBy>Nicky Smith</cp:lastModifiedBy>
  <cp:revision>2</cp:revision>
  <dcterms:created xsi:type="dcterms:W3CDTF">2015-08-05T20:45:00Z</dcterms:created>
  <dcterms:modified xsi:type="dcterms:W3CDTF">2015-08-05T20:45:00Z</dcterms:modified>
</cp:coreProperties>
</file>