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0C" w:rsidRDefault="00B6060C" w:rsidP="00283436">
      <w:pPr>
        <w:jc w:val="center"/>
        <w:rPr>
          <w:rFonts w:asciiTheme="majorHAnsi" w:hAnsiTheme="majorHAnsi"/>
          <w:b/>
          <w:sz w:val="22"/>
          <w:szCs w:val="22"/>
        </w:rPr>
      </w:pPr>
    </w:p>
    <w:p w:rsidR="00B6060C" w:rsidRDefault="00B6060C" w:rsidP="00283436">
      <w:pPr>
        <w:jc w:val="center"/>
        <w:rPr>
          <w:rFonts w:asciiTheme="majorHAnsi" w:hAnsiTheme="majorHAnsi"/>
          <w:b/>
          <w:sz w:val="22"/>
          <w:szCs w:val="22"/>
        </w:rPr>
      </w:pPr>
    </w:p>
    <w:p w:rsidR="00B6060C" w:rsidRDefault="00B6060C" w:rsidP="00283436">
      <w:pPr>
        <w:jc w:val="center"/>
        <w:rPr>
          <w:rFonts w:asciiTheme="majorHAnsi" w:hAnsiTheme="majorHAnsi"/>
          <w:b/>
          <w:sz w:val="22"/>
          <w:szCs w:val="22"/>
        </w:rPr>
      </w:pPr>
    </w:p>
    <w:p w:rsidR="00B6060C" w:rsidRDefault="00B6060C" w:rsidP="00283436">
      <w:pPr>
        <w:jc w:val="center"/>
        <w:rPr>
          <w:rFonts w:asciiTheme="majorHAnsi" w:hAnsiTheme="majorHAnsi"/>
          <w:b/>
          <w:sz w:val="22"/>
          <w:szCs w:val="22"/>
        </w:rPr>
      </w:pPr>
      <w:r w:rsidRPr="00B6060C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>
            <wp:extent cx="1295400" cy="1085850"/>
            <wp:effectExtent l="0" t="0" r="0" b="0"/>
            <wp:docPr id="1" name="Picture 1" descr="tap logo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 logo approv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0C" w:rsidRDefault="00B6060C" w:rsidP="00283436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281B" w:rsidRPr="00283436" w:rsidRDefault="00283436" w:rsidP="00283436">
      <w:pPr>
        <w:jc w:val="center"/>
        <w:rPr>
          <w:rFonts w:asciiTheme="majorHAnsi" w:hAnsiTheme="majorHAnsi"/>
          <w:b/>
          <w:sz w:val="22"/>
          <w:szCs w:val="22"/>
        </w:rPr>
      </w:pPr>
      <w:r w:rsidRPr="00283436">
        <w:rPr>
          <w:rFonts w:asciiTheme="majorHAnsi" w:hAnsiTheme="majorHAnsi"/>
          <w:b/>
          <w:sz w:val="22"/>
          <w:szCs w:val="22"/>
        </w:rPr>
        <w:t>NEW EVIDENCE THAT BLACK TEA MAY PREVENT TYPE 2 DIABETES</w:t>
      </w:r>
    </w:p>
    <w:p w:rsidR="005342C0" w:rsidRPr="00283436" w:rsidRDefault="005342C0">
      <w:pPr>
        <w:rPr>
          <w:rFonts w:asciiTheme="majorHAnsi" w:hAnsiTheme="majorHAnsi"/>
          <w:b/>
          <w:sz w:val="22"/>
          <w:szCs w:val="22"/>
        </w:rPr>
      </w:pPr>
    </w:p>
    <w:p w:rsidR="005342C0" w:rsidRPr="00283436" w:rsidRDefault="005342C0">
      <w:pPr>
        <w:rPr>
          <w:rFonts w:asciiTheme="majorHAnsi" w:hAnsiTheme="majorHAnsi"/>
          <w:sz w:val="22"/>
          <w:szCs w:val="22"/>
        </w:rPr>
      </w:pPr>
      <w:r w:rsidRPr="00283436">
        <w:rPr>
          <w:rFonts w:asciiTheme="majorHAnsi" w:hAnsiTheme="majorHAnsi"/>
          <w:sz w:val="22"/>
          <w:szCs w:val="22"/>
        </w:rPr>
        <w:t xml:space="preserve">Black tea polyphenols may help to prevent type 2 diabetes according to </w:t>
      </w:r>
      <w:r w:rsidR="0047767E" w:rsidRPr="00283436">
        <w:rPr>
          <w:rFonts w:asciiTheme="majorHAnsi" w:hAnsiTheme="majorHAnsi"/>
          <w:sz w:val="22"/>
          <w:szCs w:val="22"/>
        </w:rPr>
        <w:t xml:space="preserve">two </w:t>
      </w:r>
      <w:r w:rsidRPr="00283436">
        <w:rPr>
          <w:rFonts w:asciiTheme="majorHAnsi" w:hAnsiTheme="majorHAnsi"/>
          <w:sz w:val="22"/>
          <w:szCs w:val="22"/>
        </w:rPr>
        <w:t xml:space="preserve">new </w:t>
      </w:r>
      <w:r w:rsidR="0047767E" w:rsidRPr="00283436">
        <w:rPr>
          <w:rFonts w:asciiTheme="majorHAnsi" w:hAnsiTheme="majorHAnsi"/>
          <w:sz w:val="22"/>
          <w:szCs w:val="22"/>
        </w:rPr>
        <w:t>studies</w:t>
      </w:r>
      <w:r w:rsidR="00283436">
        <w:rPr>
          <w:rFonts w:asciiTheme="majorHAnsi" w:hAnsiTheme="majorHAnsi"/>
          <w:sz w:val="22"/>
          <w:szCs w:val="22"/>
        </w:rPr>
        <w:t xml:space="preserve"> just out</w:t>
      </w:r>
      <w:r w:rsidRPr="00283436">
        <w:rPr>
          <w:rFonts w:asciiTheme="majorHAnsi" w:hAnsiTheme="majorHAnsi"/>
          <w:sz w:val="22"/>
          <w:szCs w:val="22"/>
        </w:rPr>
        <w:t>.</w:t>
      </w:r>
      <w:r w:rsidRPr="00283436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Pr="00283436">
        <w:rPr>
          <w:rFonts w:asciiTheme="majorHAnsi" w:hAnsiTheme="majorHAnsi"/>
          <w:sz w:val="22"/>
          <w:szCs w:val="22"/>
        </w:rPr>
        <w:t xml:space="preserve"> </w:t>
      </w:r>
      <w:r w:rsidR="0047767E" w:rsidRPr="00283436">
        <w:rPr>
          <w:rStyle w:val="FootnoteReference"/>
          <w:rFonts w:asciiTheme="majorHAnsi" w:hAnsiTheme="majorHAnsi"/>
          <w:sz w:val="22"/>
          <w:szCs w:val="22"/>
        </w:rPr>
        <w:footnoteReference w:id="2"/>
      </w:r>
    </w:p>
    <w:p w:rsidR="005342C0" w:rsidRPr="00283436" w:rsidRDefault="005342C0">
      <w:pPr>
        <w:rPr>
          <w:rFonts w:asciiTheme="majorHAnsi" w:hAnsiTheme="majorHAnsi"/>
          <w:sz w:val="22"/>
          <w:szCs w:val="22"/>
        </w:rPr>
      </w:pPr>
    </w:p>
    <w:p w:rsidR="005342C0" w:rsidRPr="00283436" w:rsidRDefault="002834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Commenting on this new research evidence, Dr Catherine Hood from the Tea Advisory Panel</w:t>
      </w:r>
      <w:r w:rsidR="005A127C">
        <w:rPr>
          <w:rFonts w:asciiTheme="majorHAnsi" w:hAnsiTheme="majorHAnsi"/>
          <w:sz w:val="22"/>
          <w:szCs w:val="22"/>
        </w:rPr>
        <w:t xml:space="preserve"> (TAP)</w:t>
      </w:r>
      <w:r>
        <w:rPr>
          <w:rFonts w:asciiTheme="majorHAnsi" w:hAnsiTheme="majorHAnsi"/>
          <w:sz w:val="22"/>
          <w:szCs w:val="22"/>
        </w:rPr>
        <w:t xml:space="preserve"> notes: “</w:t>
      </w:r>
      <w:r w:rsidR="005342C0" w:rsidRPr="00283436">
        <w:rPr>
          <w:rFonts w:asciiTheme="majorHAnsi" w:hAnsiTheme="majorHAnsi"/>
          <w:sz w:val="22"/>
          <w:szCs w:val="22"/>
        </w:rPr>
        <w:t xml:space="preserve">Diabetes is a condition of disordered glucose metabolism. The main source of glucose in the body comes from the digestion and hydrolysis of dietary carbohydrates. The digestive enzymes pancreatic alpha-amylase and the intestinal alpha glucosidases are responsible for digesting carbohydrates to form glucose. </w:t>
      </w:r>
    </w:p>
    <w:p w:rsidR="005342C0" w:rsidRPr="00283436" w:rsidRDefault="005342C0">
      <w:pPr>
        <w:rPr>
          <w:rFonts w:asciiTheme="majorHAnsi" w:hAnsiTheme="majorHAnsi"/>
          <w:sz w:val="22"/>
          <w:szCs w:val="22"/>
        </w:rPr>
      </w:pPr>
    </w:p>
    <w:p w:rsidR="00283436" w:rsidRDefault="002834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5342C0" w:rsidRPr="00283436">
        <w:rPr>
          <w:rFonts w:asciiTheme="majorHAnsi" w:hAnsiTheme="majorHAnsi"/>
          <w:sz w:val="22"/>
          <w:szCs w:val="22"/>
        </w:rPr>
        <w:t xml:space="preserve">Inhibition of these enzymes and hence the inhibition of glucose formation could contribute to the prevention and management of type 2 diabetes. </w:t>
      </w:r>
    </w:p>
    <w:p w:rsidR="00283436" w:rsidRDefault="00283436">
      <w:pPr>
        <w:rPr>
          <w:rFonts w:asciiTheme="majorHAnsi" w:hAnsiTheme="majorHAnsi"/>
          <w:sz w:val="22"/>
          <w:szCs w:val="22"/>
        </w:rPr>
      </w:pPr>
    </w:p>
    <w:p w:rsidR="005342C0" w:rsidRPr="00283436" w:rsidRDefault="002834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5342C0" w:rsidRPr="00283436">
        <w:rPr>
          <w:rFonts w:asciiTheme="majorHAnsi" w:hAnsiTheme="majorHAnsi"/>
          <w:sz w:val="22"/>
          <w:szCs w:val="22"/>
        </w:rPr>
        <w:t>Acarabose is a medicine approved for the management of type 2 diabetes, which is a an alpha-glucosidase inhibitor.</w:t>
      </w:r>
      <w:r>
        <w:rPr>
          <w:rFonts w:asciiTheme="majorHAnsi" w:hAnsiTheme="majorHAnsi"/>
          <w:sz w:val="22"/>
          <w:szCs w:val="22"/>
        </w:rPr>
        <w:t xml:space="preserve"> </w:t>
      </w:r>
      <w:r w:rsidR="005342C0" w:rsidRPr="00283436">
        <w:rPr>
          <w:rFonts w:asciiTheme="majorHAnsi" w:hAnsiTheme="majorHAnsi"/>
          <w:sz w:val="22"/>
          <w:szCs w:val="22"/>
        </w:rPr>
        <w:t>In</w:t>
      </w:r>
      <w:r w:rsidR="0047767E" w:rsidRPr="00283436">
        <w:rPr>
          <w:rFonts w:asciiTheme="majorHAnsi" w:hAnsiTheme="majorHAnsi"/>
          <w:sz w:val="22"/>
          <w:szCs w:val="22"/>
        </w:rPr>
        <w:t xml:space="preserve"> the first </w:t>
      </w:r>
      <w:r w:rsidR="005342C0" w:rsidRPr="00283436">
        <w:rPr>
          <w:rFonts w:asciiTheme="majorHAnsi" w:hAnsiTheme="majorHAnsi"/>
          <w:sz w:val="22"/>
          <w:szCs w:val="22"/>
        </w:rPr>
        <w:t>study</w:t>
      </w:r>
      <w:r w:rsidR="0047767E" w:rsidRPr="00283436">
        <w:rPr>
          <w:rFonts w:asciiTheme="majorHAnsi" w:hAnsiTheme="majorHAnsi"/>
          <w:sz w:val="22"/>
          <w:szCs w:val="22"/>
        </w:rPr>
        <w:t xml:space="preserve"> from the US</w:t>
      </w:r>
      <w:r w:rsidR="005342C0" w:rsidRPr="00283436">
        <w:rPr>
          <w:rFonts w:asciiTheme="majorHAnsi" w:hAnsiTheme="majorHAnsi"/>
          <w:sz w:val="22"/>
          <w:szCs w:val="22"/>
        </w:rPr>
        <w:t>,</w:t>
      </w:r>
      <w:r w:rsidR="00A96DFB" w:rsidRPr="00283436">
        <w:rPr>
          <w:rStyle w:val="FootnoteReference"/>
          <w:rFonts w:asciiTheme="majorHAnsi" w:hAnsiTheme="majorHAnsi"/>
          <w:sz w:val="22"/>
          <w:szCs w:val="22"/>
        </w:rPr>
        <w:footnoteReference w:id="3"/>
      </w:r>
      <w:r w:rsidR="005342C0" w:rsidRPr="00283436">
        <w:rPr>
          <w:rFonts w:asciiTheme="majorHAnsi" w:hAnsiTheme="majorHAnsi"/>
          <w:sz w:val="22"/>
          <w:szCs w:val="22"/>
        </w:rPr>
        <w:t xml:space="preserve"> the potential of a black tea extract to inhibit these enzymes was studied. Black tea leaves were extracted in hot water and for </w:t>
      </w:r>
      <w:r w:rsidR="005A127C" w:rsidRPr="00283436">
        <w:rPr>
          <w:rFonts w:asciiTheme="majorHAnsi" w:hAnsiTheme="majorHAnsi"/>
          <w:sz w:val="22"/>
          <w:szCs w:val="22"/>
        </w:rPr>
        <w:t>comparison</w:t>
      </w:r>
      <w:r w:rsidR="005342C0" w:rsidRPr="00283436">
        <w:rPr>
          <w:rFonts w:asciiTheme="majorHAnsi" w:hAnsiTheme="majorHAnsi"/>
          <w:sz w:val="22"/>
          <w:szCs w:val="22"/>
        </w:rPr>
        <w:t xml:space="preserve"> black tea pomace was extracted in acetone. The polyphenolic content of the water extract was 5.7mg/ml and of the acetone extract 8.9 mg/ml.</w:t>
      </w:r>
    </w:p>
    <w:p w:rsidR="005342C0" w:rsidRPr="00283436" w:rsidRDefault="005342C0">
      <w:pPr>
        <w:rPr>
          <w:rFonts w:asciiTheme="majorHAnsi" w:hAnsiTheme="majorHAnsi"/>
          <w:sz w:val="22"/>
          <w:szCs w:val="22"/>
        </w:rPr>
      </w:pPr>
    </w:p>
    <w:p w:rsidR="005342C0" w:rsidRPr="00283436" w:rsidRDefault="002834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5342C0" w:rsidRPr="00283436">
        <w:rPr>
          <w:rFonts w:asciiTheme="majorHAnsi" w:hAnsiTheme="majorHAnsi"/>
          <w:sz w:val="22"/>
          <w:szCs w:val="22"/>
        </w:rPr>
        <w:t xml:space="preserve">The extracts were further evaluated in the laboratory to identify a </w:t>
      </w:r>
      <w:r w:rsidR="005A127C" w:rsidRPr="00283436">
        <w:rPr>
          <w:rFonts w:asciiTheme="majorHAnsi" w:hAnsiTheme="majorHAnsi"/>
          <w:sz w:val="22"/>
          <w:szCs w:val="22"/>
        </w:rPr>
        <w:t>variety</w:t>
      </w:r>
      <w:r w:rsidR="005342C0" w:rsidRPr="00283436">
        <w:rPr>
          <w:rFonts w:asciiTheme="majorHAnsi" w:hAnsiTheme="majorHAnsi"/>
          <w:sz w:val="22"/>
          <w:szCs w:val="22"/>
        </w:rPr>
        <w:t xml:space="preserve"> of polyphenolic compounds. All had s</w:t>
      </w:r>
      <w:r w:rsidR="0047767E" w:rsidRPr="00283436">
        <w:rPr>
          <w:rFonts w:asciiTheme="majorHAnsi" w:hAnsiTheme="majorHAnsi"/>
          <w:sz w:val="22"/>
          <w:szCs w:val="22"/>
        </w:rPr>
        <w:t>ignificant</w:t>
      </w:r>
      <w:r w:rsidR="005342C0" w:rsidRPr="00283436">
        <w:rPr>
          <w:rFonts w:asciiTheme="majorHAnsi" w:hAnsiTheme="majorHAnsi"/>
          <w:sz w:val="22"/>
          <w:szCs w:val="22"/>
        </w:rPr>
        <w:t xml:space="preserve"> activity against the carbohydrate hydrolyzing enzymes</w:t>
      </w:r>
      <w:r w:rsidR="0047767E" w:rsidRPr="00283436">
        <w:rPr>
          <w:rFonts w:asciiTheme="majorHAnsi" w:hAnsiTheme="majorHAnsi"/>
          <w:sz w:val="22"/>
          <w:szCs w:val="22"/>
        </w:rPr>
        <w:t xml:space="preserve">, alpha amylase and alpha-glucosidase, suggesting that black tea extract may </w:t>
      </w:r>
      <w:r w:rsidR="0047767E" w:rsidRPr="00283436">
        <w:rPr>
          <w:rFonts w:asciiTheme="majorHAnsi" w:hAnsiTheme="majorHAnsi"/>
          <w:sz w:val="22"/>
          <w:szCs w:val="22"/>
        </w:rPr>
        <w:lastRenderedPageBreak/>
        <w:t>reduce the formation of glucose from these digestive enzymes.</w:t>
      </w:r>
    </w:p>
    <w:p w:rsidR="0047767E" w:rsidRPr="00283436" w:rsidRDefault="0047767E">
      <w:pPr>
        <w:rPr>
          <w:rFonts w:asciiTheme="majorHAnsi" w:hAnsiTheme="majorHAnsi"/>
          <w:sz w:val="22"/>
          <w:szCs w:val="22"/>
        </w:rPr>
      </w:pPr>
    </w:p>
    <w:p w:rsidR="00A96DFB" w:rsidRPr="00283436" w:rsidRDefault="002834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A96DFB" w:rsidRPr="00283436">
        <w:rPr>
          <w:rFonts w:asciiTheme="majorHAnsi" w:hAnsiTheme="majorHAnsi"/>
          <w:sz w:val="22"/>
          <w:szCs w:val="22"/>
        </w:rPr>
        <w:t>In the second study from Japanese researchers,</w:t>
      </w:r>
      <w:r w:rsidR="00A96DFB" w:rsidRPr="00283436">
        <w:rPr>
          <w:rStyle w:val="FootnoteReference"/>
          <w:rFonts w:asciiTheme="majorHAnsi" w:hAnsiTheme="majorHAnsi"/>
          <w:sz w:val="22"/>
          <w:szCs w:val="22"/>
        </w:rPr>
        <w:footnoteReference w:id="4"/>
      </w:r>
      <w:r w:rsidR="00A96DFB" w:rsidRPr="00283436">
        <w:rPr>
          <w:rFonts w:asciiTheme="majorHAnsi" w:hAnsiTheme="majorHAnsi"/>
          <w:sz w:val="22"/>
          <w:szCs w:val="22"/>
        </w:rPr>
        <w:t xml:space="preserve"> a freeze dried powder extract of black tea leaves was found to inhibit the degradation of carbohydrates by alpha-glucosidase with a weaker but still positive effect on alpha-amylase</w:t>
      </w:r>
    </w:p>
    <w:p w:rsidR="00283436" w:rsidRDefault="00283436">
      <w:pPr>
        <w:rPr>
          <w:rFonts w:asciiTheme="majorHAnsi" w:hAnsiTheme="majorHAnsi"/>
          <w:sz w:val="22"/>
          <w:szCs w:val="22"/>
        </w:rPr>
      </w:pPr>
    </w:p>
    <w:p w:rsidR="0047767E" w:rsidRPr="00283436" w:rsidRDefault="002834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47767E" w:rsidRPr="00283436">
        <w:rPr>
          <w:rFonts w:asciiTheme="majorHAnsi" w:hAnsiTheme="majorHAnsi"/>
          <w:sz w:val="22"/>
          <w:szCs w:val="22"/>
        </w:rPr>
        <w:t xml:space="preserve">Research is continuing on the potential effects of black tea on carbohydrate and glucose metabolism, but this study adds to a growing body of evidence that black tea may contribute to diabetes prevention and management. </w:t>
      </w:r>
      <w:r w:rsidR="00A96DFB" w:rsidRPr="00283436">
        <w:rPr>
          <w:rFonts w:asciiTheme="majorHAnsi" w:hAnsiTheme="majorHAnsi"/>
          <w:sz w:val="22"/>
          <w:szCs w:val="22"/>
        </w:rPr>
        <w:t xml:space="preserve">The findings from these two studies are not new. </w:t>
      </w:r>
      <w:r w:rsidR="0047767E" w:rsidRPr="00283436">
        <w:rPr>
          <w:rFonts w:asciiTheme="majorHAnsi" w:hAnsiTheme="majorHAnsi"/>
          <w:sz w:val="22"/>
          <w:szCs w:val="22"/>
        </w:rPr>
        <w:t>Black tea has previously been shown to inhibit alpha-amylase and alpha-glucosidase</w:t>
      </w:r>
      <w:r w:rsidR="005A127C">
        <w:rPr>
          <w:rFonts w:asciiTheme="majorHAnsi" w:hAnsiTheme="majorHAnsi"/>
          <w:sz w:val="22"/>
          <w:szCs w:val="22"/>
        </w:rPr>
        <w:t>.</w:t>
      </w:r>
      <w:r w:rsidR="0047767E" w:rsidRPr="00283436">
        <w:rPr>
          <w:rStyle w:val="FootnoteReference"/>
          <w:rFonts w:asciiTheme="majorHAnsi" w:hAnsiTheme="majorHAnsi"/>
          <w:sz w:val="22"/>
          <w:szCs w:val="22"/>
        </w:rPr>
        <w:footnoteReference w:id="5"/>
      </w:r>
    </w:p>
    <w:p w:rsidR="00A96DFB" w:rsidRPr="00283436" w:rsidRDefault="00A96DFB">
      <w:pPr>
        <w:rPr>
          <w:rFonts w:asciiTheme="majorHAnsi" w:hAnsiTheme="majorHAnsi"/>
          <w:sz w:val="22"/>
          <w:szCs w:val="22"/>
        </w:rPr>
      </w:pPr>
    </w:p>
    <w:p w:rsidR="00A96DFB" w:rsidRDefault="002834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A96DFB" w:rsidRPr="00283436">
        <w:rPr>
          <w:rFonts w:asciiTheme="majorHAnsi" w:hAnsiTheme="majorHAnsi"/>
          <w:sz w:val="22"/>
          <w:szCs w:val="22"/>
        </w:rPr>
        <w:t xml:space="preserve">This research provides encouragement to Britain’s black tea drinkers suggesting that black tea is a healthy, hydrating beverage that could help to control the digestion of carbohydrates and hence have a role in </w:t>
      </w:r>
      <w:r>
        <w:rPr>
          <w:rFonts w:asciiTheme="majorHAnsi" w:hAnsiTheme="majorHAnsi"/>
          <w:sz w:val="22"/>
          <w:szCs w:val="22"/>
        </w:rPr>
        <w:t xml:space="preserve">helping to manage type 2 </w:t>
      </w:r>
      <w:r w:rsidR="00A96DFB" w:rsidRPr="00283436">
        <w:rPr>
          <w:rFonts w:asciiTheme="majorHAnsi" w:hAnsiTheme="majorHAnsi"/>
          <w:sz w:val="22"/>
          <w:szCs w:val="22"/>
        </w:rPr>
        <w:t>diabetes</w:t>
      </w:r>
      <w:r>
        <w:rPr>
          <w:rFonts w:asciiTheme="majorHAnsi" w:hAnsiTheme="majorHAnsi"/>
          <w:sz w:val="22"/>
          <w:szCs w:val="22"/>
        </w:rPr>
        <w:t xml:space="preserve"> and in some cases present the disease</w:t>
      </w:r>
      <w:r w:rsidR="00A96DFB" w:rsidRPr="0028343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”</w:t>
      </w:r>
    </w:p>
    <w:p w:rsidR="00283436" w:rsidRDefault="00283436">
      <w:pPr>
        <w:rPr>
          <w:rFonts w:asciiTheme="majorHAnsi" w:hAnsiTheme="majorHAnsi"/>
          <w:sz w:val="22"/>
          <w:szCs w:val="22"/>
        </w:rPr>
      </w:pPr>
    </w:p>
    <w:p w:rsidR="005A127C" w:rsidRDefault="00283436" w:rsidP="005A127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In summary, Dr Tim Bond from TAP notes: “</w:t>
      </w:r>
      <w:r w:rsidRPr="00AC468F">
        <w:rPr>
          <w:rFonts w:asciiTheme="majorHAnsi" w:hAnsiTheme="majorHAnsi" w:cs="Times"/>
        </w:rPr>
        <w:t xml:space="preserve">Tea is a very popular beverage in the UK and these </w:t>
      </w:r>
      <w:r>
        <w:rPr>
          <w:rFonts w:asciiTheme="majorHAnsi" w:hAnsiTheme="majorHAnsi" w:cs="Times"/>
        </w:rPr>
        <w:t xml:space="preserve">latest </w:t>
      </w:r>
      <w:r w:rsidRPr="00AC468F">
        <w:rPr>
          <w:rFonts w:asciiTheme="majorHAnsi" w:hAnsiTheme="majorHAnsi" w:cs="Times"/>
        </w:rPr>
        <w:t xml:space="preserve">findings </w:t>
      </w:r>
      <w:r>
        <w:rPr>
          <w:rFonts w:asciiTheme="majorHAnsi" w:hAnsiTheme="majorHAnsi" w:cs="Times"/>
        </w:rPr>
        <w:t xml:space="preserve">together with many other published </w:t>
      </w:r>
      <w:r w:rsidRPr="00AC468F">
        <w:rPr>
          <w:rFonts w:asciiTheme="majorHAnsi" w:hAnsiTheme="majorHAnsi" w:cs="Times"/>
        </w:rPr>
        <w:t>studies continue to suggest that Britain’s</w:t>
      </w:r>
      <w:r w:rsidR="005A127C">
        <w:rPr>
          <w:rFonts w:asciiTheme="majorHAnsi" w:hAnsiTheme="majorHAnsi" w:cs="Times"/>
        </w:rPr>
        <w:t>’ favorite</w:t>
      </w:r>
      <w:r w:rsidRPr="00AC468F">
        <w:rPr>
          <w:rFonts w:asciiTheme="majorHAnsi" w:hAnsiTheme="majorHAnsi" w:cs="Times"/>
        </w:rPr>
        <w:t xml:space="preserve"> beverage is good for </w:t>
      </w:r>
      <w:r>
        <w:rPr>
          <w:rFonts w:asciiTheme="majorHAnsi" w:hAnsiTheme="majorHAnsi" w:cs="Times"/>
        </w:rPr>
        <w:t xml:space="preserve">our health including </w:t>
      </w:r>
      <w:r w:rsidR="00871564">
        <w:rPr>
          <w:rFonts w:asciiTheme="majorHAnsi" w:hAnsiTheme="majorHAnsi" w:cs="Times"/>
        </w:rPr>
        <w:t xml:space="preserve">our </w:t>
      </w:r>
      <w:r>
        <w:rPr>
          <w:rFonts w:asciiTheme="majorHAnsi" w:hAnsiTheme="majorHAnsi" w:cs="Times"/>
        </w:rPr>
        <w:t>heart and vascular</w:t>
      </w:r>
      <w:r w:rsidR="00871564">
        <w:rPr>
          <w:rFonts w:asciiTheme="majorHAnsi" w:hAnsiTheme="majorHAnsi" w:cs="Times"/>
        </w:rPr>
        <w:t xml:space="preserve"> system</w:t>
      </w:r>
      <w:r w:rsidRPr="00AC468F">
        <w:rPr>
          <w:rFonts w:asciiTheme="majorHAnsi" w:hAnsiTheme="majorHAnsi" w:cs="Times"/>
        </w:rPr>
        <w:t>.</w:t>
      </w:r>
      <w:r>
        <w:rPr>
          <w:rFonts w:asciiTheme="majorHAnsi" w:hAnsiTheme="majorHAnsi" w:cs="Times"/>
        </w:rPr>
        <w:t>”</w:t>
      </w:r>
    </w:p>
    <w:p w:rsidR="00283436" w:rsidRPr="00EB44AF" w:rsidRDefault="005A127C" w:rsidP="005A127C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Theme="majorHAnsi" w:hAnsiTheme="majorHAnsi" w:cs="Arial"/>
          <w:color w:val="000000"/>
          <w:sz w:val="22"/>
          <w:szCs w:val="22"/>
          <w:lang w:val="en-GB"/>
        </w:rPr>
      </w:pPr>
      <w:r>
        <w:rPr>
          <w:rFonts w:asciiTheme="majorHAnsi" w:hAnsiTheme="majorHAnsi" w:cs="Arial"/>
          <w:color w:val="000000"/>
          <w:sz w:val="22"/>
          <w:szCs w:val="22"/>
          <w:lang w:val="en-GB"/>
        </w:rPr>
        <w:t>-</w:t>
      </w:r>
      <w:r w:rsidR="00283436">
        <w:rPr>
          <w:rFonts w:asciiTheme="majorHAnsi" w:hAnsiTheme="majorHAnsi" w:cs="Arial"/>
          <w:color w:val="000000"/>
          <w:sz w:val="22"/>
          <w:szCs w:val="22"/>
          <w:lang w:val="en-GB"/>
        </w:rPr>
        <w:t>ENDS-</w:t>
      </w:r>
    </w:p>
    <w:p w:rsidR="00283436" w:rsidRDefault="00283436" w:rsidP="00C446A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sz w:val="22"/>
          <w:szCs w:val="20"/>
          <w:lang w:val="en-GB" w:eastAsia="en-GB"/>
        </w:rPr>
      </w:pPr>
      <w:r w:rsidRPr="00A865DC">
        <w:rPr>
          <w:rFonts w:ascii="Calibri" w:eastAsia="Times New Roman" w:hAnsi="Calibri" w:cs="Arial"/>
          <w:b/>
          <w:sz w:val="22"/>
          <w:szCs w:val="20"/>
          <w:lang w:val="en-GB" w:eastAsia="en-GB"/>
        </w:rPr>
        <w:t xml:space="preserve">The Tea Advisory Panel: </w:t>
      </w:r>
      <w:r w:rsidRPr="00A865DC">
        <w:rPr>
          <w:rFonts w:ascii="Calibri" w:eastAsia="Times New Roman" w:hAnsi="Calibri" w:cs="Arial"/>
          <w:color w:val="000000"/>
          <w:sz w:val="22"/>
          <w:szCs w:val="20"/>
          <w:lang w:val="en-GB" w:eastAsia="en-GB"/>
        </w:rPr>
        <w:t xml:space="preserve">The Tea Advisory Panel is supported by an unrestricted educational grant from the </w:t>
      </w:r>
      <w:r w:rsidRPr="00A865DC">
        <w:rPr>
          <w:rFonts w:ascii="Calibri" w:eastAsia="Times New Roman" w:hAnsi="Calibri" w:cs="Arial"/>
          <w:b/>
          <w:color w:val="000000"/>
          <w:sz w:val="22"/>
          <w:szCs w:val="20"/>
          <w:lang w:val="en-GB" w:eastAsia="en-GB"/>
        </w:rPr>
        <w:t>UK TEA</w:t>
      </w:r>
      <w:r>
        <w:rPr>
          <w:rFonts w:ascii="Calibri" w:eastAsia="Times New Roman" w:hAnsi="Calibri" w:cs="Arial"/>
          <w:b/>
          <w:color w:val="000000"/>
          <w:sz w:val="22"/>
          <w:szCs w:val="20"/>
          <w:lang w:val="en-GB" w:eastAsia="en-GB"/>
        </w:rPr>
        <w:t xml:space="preserve"> &amp; INFUSIONS ASSOCIATION</w:t>
      </w:r>
      <w:r w:rsidRPr="00A865DC">
        <w:rPr>
          <w:rFonts w:ascii="Calibri" w:eastAsia="Times New Roman" w:hAnsi="Calibri" w:cs="Arial"/>
          <w:color w:val="000000"/>
          <w:sz w:val="22"/>
          <w:szCs w:val="20"/>
          <w:lang w:val="en-GB" w:eastAsia="en-GB"/>
        </w:rPr>
        <w:t>, the trade association for the UK tea industry. The Panel has been created to provide media with impartial information regarding the health benefits of tea. Panel members include nutritionists; dieticians and doctors.  For further information please</w:t>
      </w:r>
      <w:r w:rsidR="0078715F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contact: </w:t>
      </w:r>
    </w:p>
    <w:p w:rsidR="0078715F" w:rsidRDefault="0078715F" w:rsidP="00C446A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sz w:val="22"/>
          <w:szCs w:val="20"/>
          <w:lang w:val="en-GB" w:eastAsia="en-GB"/>
        </w:rPr>
      </w:pPr>
    </w:p>
    <w:p w:rsidR="00C446A8" w:rsidRDefault="0078715F" w:rsidP="00C446A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sz w:val="22"/>
          <w:szCs w:val="20"/>
          <w:lang w:val="en-GB" w:eastAsia="en-GB"/>
        </w:rPr>
      </w:pPr>
      <w:r>
        <w:rPr>
          <w:rFonts w:ascii="Calibri" w:eastAsia="Times New Roman" w:hAnsi="Calibri" w:cs="Arial"/>
          <w:b/>
          <w:sz w:val="22"/>
          <w:szCs w:val="20"/>
          <w:lang w:val="en-GB" w:eastAsia="en-GB"/>
        </w:rPr>
        <w:t xml:space="preserve">Isla Haslam: </w:t>
      </w:r>
      <w:hyperlink r:id="rId8" w:history="1">
        <w:r w:rsidRPr="009E758B">
          <w:rPr>
            <w:rStyle w:val="Hyperlink"/>
            <w:rFonts w:ascii="Calibri" w:eastAsia="Times New Roman" w:hAnsi="Calibri" w:cs="Arial"/>
            <w:sz w:val="22"/>
            <w:szCs w:val="20"/>
            <w:lang w:val="en-GB" w:eastAsia="en-GB"/>
          </w:rPr>
          <w:t>isla.haslam@nexuspr.com</w:t>
        </w:r>
      </w:hyperlink>
      <w:r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/ 0207528880,</w:t>
      </w:r>
    </w:p>
    <w:p w:rsidR="0078715F" w:rsidRDefault="00C446A8" w:rsidP="00C446A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sz w:val="22"/>
          <w:szCs w:val="20"/>
          <w:lang w:val="en-GB" w:eastAsia="en-GB"/>
        </w:rPr>
      </w:pPr>
      <w:r w:rsidRPr="00261F7A">
        <w:rPr>
          <w:rFonts w:ascii="Calibri" w:eastAsia="Times New Roman" w:hAnsi="Calibri" w:cs="Arial"/>
          <w:b/>
          <w:sz w:val="22"/>
          <w:szCs w:val="20"/>
          <w:lang w:val="en-GB" w:eastAsia="en-GB"/>
        </w:rPr>
        <w:lastRenderedPageBreak/>
        <w:t>Chanelle Kearey</w:t>
      </w:r>
      <w:r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</w:t>
      </w:r>
      <w:hyperlink r:id="rId9" w:history="1">
        <w:r w:rsidRPr="006304F7">
          <w:rPr>
            <w:rStyle w:val="Hyperlink"/>
            <w:rFonts w:ascii="Calibri" w:eastAsia="Times New Roman" w:hAnsi="Calibri" w:cs="Arial"/>
            <w:sz w:val="22"/>
            <w:szCs w:val="20"/>
            <w:lang w:val="en-GB" w:eastAsia="en-GB"/>
          </w:rPr>
          <w:t>chanelle.kearey@nexuspr.com</w:t>
        </w:r>
      </w:hyperlink>
      <w:r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/ 02070528854</w:t>
      </w:r>
      <w:r w:rsidR="0078715F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or visit </w:t>
      </w:r>
      <w:hyperlink r:id="rId10" w:history="1">
        <w:r w:rsidR="0078715F" w:rsidRPr="009E758B">
          <w:rPr>
            <w:rStyle w:val="Hyperlink"/>
            <w:rFonts w:ascii="Calibri" w:eastAsia="Times New Roman" w:hAnsi="Calibri" w:cs="Arial"/>
            <w:sz w:val="22"/>
            <w:szCs w:val="20"/>
            <w:lang w:val="en-GB" w:eastAsia="en-GB"/>
          </w:rPr>
          <w:t>http://www.teaadvisorypanel.com/</w:t>
        </w:r>
      </w:hyperlink>
      <w:r w:rsidR="0078715F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 </w:t>
      </w:r>
    </w:p>
    <w:p w:rsidR="00283436" w:rsidRPr="00AC468F" w:rsidRDefault="00283436" w:rsidP="00283436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</w:rPr>
      </w:pPr>
    </w:p>
    <w:p w:rsidR="00283436" w:rsidRDefault="00283436">
      <w:pPr>
        <w:rPr>
          <w:rFonts w:asciiTheme="majorHAnsi" w:hAnsiTheme="majorHAnsi"/>
          <w:sz w:val="22"/>
          <w:szCs w:val="22"/>
        </w:rPr>
      </w:pPr>
    </w:p>
    <w:p w:rsidR="00283436" w:rsidRPr="00283436" w:rsidRDefault="0028343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47767E" w:rsidRPr="00283436" w:rsidRDefault="0047767E">
      <w:pPr>
        <w:rPr>
          <w:rFonts w:asciiTheme="majorHAnsi" w:hAnsiTheme="majorHAnsi"/>
          <w:sz w:val="22"/>
          <w:szCs w:val="22"/>
        </w:rPr>
      </w:pPr>
    </w:p>
    <w:p w:rsidR="0047767E" w:rsidRPr="00283436" w:rsidRDefault="0047767E">
      <w:pPr>
        <w:rPr>
          <w:rFonts w:asciiTheme="majorHAnsi" w:hAnsiTheme="majorHAnsi"/>
          <w:sz w:val="22"/>
          <w:szCs w:val="22"/>
        </w:rPr>
      </w:pPr>
    </w:p>
    <w:sectPr w:rsidR="0047767E" w:rsidRPr="00283436" w:rsidSect="00283436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7E" w:rsidRDefault="0047767E" w:rsidP="005342C0">
      <w:r>
        <w:separator/>
      </w:r>
    </w:p>
  </w:endnote>
  <w:endnote w:type="continuationSeparator" w:id="0">
    <w:p w:rsidR="0047767E" w:rsidRDefault="0047767E" w:rsidP="0053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7E" w:rsidRDefault="0047767E" w:rsidP="005342C0">
      <w:r>
        <w:separator/>
      </w:r>
    </w:p>
  </w:footnote>
  <w:footnote w:type="continuationSeparator" w:id="0">
    <w:p w:rsidR="0047767E" w:rsidRDefault="0047767E" w:rsidP="005342C0">
      <w:r>
        <w:continuationSeparator/>
      </w:r>
    </w:p>
  </w:footnote>
  <w:footnote w:id="1">
    <w:p w:rsidR="0047767E" w:rsidRPr="00283436" w:rsidRDefault="0047767E" w:rsidP="00283436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 w:rsidRPr="00283436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283436">
        <w:rPr>
          <w:rFonts w:asciiTheme="majorHAnsi" w:hAnsiTheme="majorHAnsi"/>
          <w:sz w:val="20"/>
          <w:szCs w:val="20"/>
        </w:rPr>
        <w:t xml:space="preserve"> </w:t>
      </w:r>
      <w:r w:rsidRPr="00283436">
        <w:rPr>
          <w:rFonts w:asciiTheme="majorHAnsi" w:eastAsia="Times New Roman" w:hAnsiTheme="majorHAnsi" w:cs="Times New Roman"/>
          <w:bCs/>
          <w:sz w:val="20"/>
          <w:szCs w:val="20"/>
        </w:rPr>
        <w:t>Striegel, L, Kang, B, Pilkenton S, et al.</w:t>
      </w:r>
      <w:r w:rsidRPr="00283436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</w:t>
      </w:r>
      <w:r w:rsidRPr="00283436">
        <w:rPr>
          <w:rFonts w:asciiTheme="majorHAnsi" w:eastAsia="Times New Roman" w:hAnsiTheme="majorHAnsi" w:cs="Times New Roman"/>
          <w:sz w:val="20"/>
          <w:szCs w:val="20"/>
        </w:rPr>
        <w:t>Effect of black tea and black tea pomace polyphenols on α-glucosidase and α-amylase inhibition, relevant to type 2 diabetes prevention</w:t>
      </w:r>
      <w:r w:rsidRPr="00283436">
        <w:rPr>
          <w:rFonts w:asciiTheme="majorHAnsi" w:eastAsia="Times New Roman" w:hAnsiTheme="majorHAnsi" w:cs="Times New Roman"/>
          <w:i/>
          <w:sz w:val="20"/>
          <w:szCs w:val="20"/>
        </w:rPr>
        <w:t>. Frontiers in Nutrition</w:t>
      </w:r>
      <w:r w:rsidRPr="00283436">
        <w:rPr>
          <w:rFonts w:asciiTheme="majorHAnsi" w:eastAsia="Times New Roman" w:hAnsiTheme="majorHAnsi" w:cs="Times New Roman"/>
          <w:sz w:val="20"/>
          <w:szCs w:val="20"/>
        </w:rPr>
        <w:t xml:space="preserve"> 2015. </w:t>
      </w:r>
      <w:r w:rsidRPr="00283436">
        <w:rPr>
          <w:rFonts w:asciiTheme="majorHAnsi" w:eastAsia="Times New Roman" w:hAnsiTheme="majorHAnsi" w:cs="Lucida Grande"/>
          <w:sz w:val="20"/>
          <w:szCs w:val="20"/>
          <w:shd w:val="clear" w:color="auto" w:fill="FFFFFF"/>
          <w:lang w:val="en-GB"/>
        </w:rPr>
        <w:t>doi: 10.3389/fnut.2015.00003</w:t>
      </w:r>
    </w:p>
  </w:footnote>
  <w:footnote w:id="2">
    <w:p w:rsidR="00A96DFB" w:rsidRPr="00283436" w:rsidRDefault="0047767E" w:rsidP="00283436">
      <w:pPr>
        <w:shd w:val="clear" w:color="auto" w:fill="FFFFFF"/>
        <w:rPr>
          <w:rFonts w:asciiTheme="majorHAnsi" w:eastAsia="Times New Roman" w:hAnsiTheme="majorHAnsi" w:cs="Arial"/>
          <w:sz w:val="20"/>
          <w:szCs w:val="20"/>
        </w:rPr>
      </w:pPr>
      <w:r w:rsidRPr="00283436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283436">
        <w:rPr>
          <w:rFonts w:asciiTheme="majorHAnsi" w:hAnsiTheme="majorHAnsi"/>
          <w:sz w:val="20"/>
          <w:szCs w:val="20"/>
        </w:rPr>
        <w:t xml:space="preserve"> </w:t>
      </w:r>
      <w:hyperlink r:id="rId1" w:history="1">
        <w:r w:rsidR="00A96DFB" w:rsidRPr="00283436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  <w:u w:val="none"/>
          </w:rPr>
          <w:t>Satoh T</w:t>
        </w:r>
      </w:hyperlink>
      <w:r w:rsidR="00A96DFB" w:rsidRPr="00283436">
        <w:rPr>
          <w:rFonts w:asciiTheme="majorHAnsi" w:eastAsia="Times New Roman" w:hAnsiTheme="majorHAnsi" w:cs="Arial"/>
          <w:sz w:val="20"/>
          <w:szCs w:val="20"/>
          <w:vertAlign w:val="superscript"/>
        </w:rPr>
        <w:t>1</w:t>
      </w:r>
      <w:r w:rsidR="00A96DFB" w:rsidRPr="00283436">
        <w:rPr>
          <w:rFonts w:asciiTheme="majorHAnsi" w:eastAsia="Times New Roman" w:hAnsiTheme="majorHAnsi" w:cs="Arial"/>
          <w:sz w:val="20"/>
          <w:szCs w:val="20"/>
        </w:rPr>
        <w:t>,</w:t>
      </w:r>
      <w:r w:rsidR="00A96DFB"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hyperlink r:id="rId2" w:history="1">
        <w:r w:rsidR="00A96DFB" w:rsidRPr="00283436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  <w:u w:val="none"/>
          </w:rPr>
          <w:t>Igarashi M</w:t>
        </w:r>
      </w:hyperlink>
      <w:r w:rsidR="00A96DFB" w:rsidRPr="00283436">
        <w:rPr>
          <w:rFonts w:asciiTheme="majorHAnsi" w:eastAsia="Times New Roman" w:hAnsiTheme="majorHAnsi" w:cs="Arial"/>
          <w:sz w:val="20"/>
          <w:szCs w:val="20"/>
          <w:vertAlign w:val="superscript"/>
        </w:rPr>
        <w:t>2</w:t>
      </w:r>
      <w:r w:rsidR="00A96DFB" w:rsidRPr="00283436">
        <w:rPr>
          <w:rFonts w:asciiTheme="majorHAnsi" w:eastAsia="Times New Roman" w:hAnsiTheme="majorHAnsi" w:cs="Arial"/>
          <w:sz w:val="20"/>
          <w:szCs w:val="20"/>
        </w:rPr>
        <w:t>,</w:t>
      </w:r>
      <w:r w:rsidR="00A96DFB"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hyperlink r:id="rId3" w:history="1">
        <w:r w:rsidR="00A96DFB" w:rsidRPr="00283436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  <w:u w:val="none"/>
          </w:rPr>
          <w:t>Yamada S</w:t>
        </w:r>
      </w:hyperlink>
      <w:r w:rsidR="00A96DFB" w:rsidRPr="00283436">
        <w:rPr>
          <w:rFonts w:asciiTheme="majorHAnsi" w:eastAsia="Times New Roman" w:hAnsiTheme="majorHAnsi" w:cs="Arial"/>
          <w:sz w:val="20"/>
          <w:szCs w:val="20"/>
          <w:vertAlign w:val="superscript"/>
        </w:rPr>
        <w:t>2</w:t>
      </w:r>
      <w:r w:rsidR="00A96DFB" w:rsidRPr="00283436">
        <w:rPr>
          <w:rFonts w:asciiTheme="majorHAnsi" w:eastAsia="Times New Roman" w:hAnsiTheme="majorHAnsi" w:cs="Arial"/>
          <w:sz w:val="20"/>
          <w:szCs w:val="20"/>
        </w:rPr>
        <w:t>, Inhibitory effect of</w:t>
      </w:r>
      <w:r w:rsidR="00A96DFB"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r w:rsidR="00A96DFB" w:rsidRPr="00283436">
        <w:rPr>
          <w:rStyle w:val="highlight"/>
          <w:rFonts w:asciiTheme="majorHAnsi" w:eastAsia="Times New Roman" w:hAnsiTheme="majorHAnsi" w:cs="Arial"/>
          <w:sz w:val="20"/>
          <w:szCs w:val="20"/>
        </w:rPr>
        <w:t>black tea</w:t>
      </w:r>
      <w:r w:rsidR="00A96DFB"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r w:rsidR="00A96DFB" w:rsidRPr="00283436">
        <w:rPr>
          <w:rFonts w:asciiTheme="majorHAnsi" w:eastAsia="Times New Roman" w:hAnsiTheme="majorHAnsi" w:cs="Arial"/>
          <w:sz w:val="20"/>
          <w:szCs w:val="20"/>
        </w:rPr>
        <w:t>and its combination with acarbose on small intestinal α-glucosidase activity.</w:t>
      </w:r>
    </w:p>
    <w:p w:rsidR="0047767E" w:rsidRPr="00283436" w:rsidRDefault="00261F7A" w:rsidP="00283436">
      <w:pPr>
        <w:shd w:val="clear" w:color="auto" w:fill="FFFFFF"/>
        <w:rPr>
          <w:rFonts w:asciiTheme="majorHAnsi" w:eastAsia="Times New Roman" w:hAnsiTheme="majorHAnsi" w:cs="Arial"/>
          <w:sz w:val="20"/>
          <w:szCs w:val="20"/>
        </w:rPr>
      </w:pPr>
      <w:hyperlink r:id="rId4" w:tooltip="Journal of ethnopharmacology." w:history="1">
        <w:r w:rsidR="00A96DFB" w:rsidRPr="00283436">
          <w:rPr>
            <w:rStyle w:val="Hyperlink"/>
            <w:rFonts w:asciiTheme="majorHAnsi" w:eastAsia="Times New Roman" w:hAnsiTheme="majorHAnsi" w:cs="Arial"/>
            <w:i/>
            <w:color w:val="auto"/>
            <w:sz w:val="20"/>
            <w:szCs w:val="20"/>
            <w:u w:val="none"/>
          </w:rPr>
          <w:t>J Ethnopharmacol.</w:t>
        </w:r>
      </w:hyperlink>
      <w:r w:rsidR="00A96DFB" w:rsidRPr="00283436">
        <w:rPr>
          <w:rStyle w:val="apple-converted-space"/>
          <w:rFonts w:asciiTheme="majorHAnsi" w:eastAsia="Times New Roman" w:hAnsiTheme="majorHAnsi" w:cs="Arial"/>
          <w:i/>
          <w:sz w:val="20"/>
          <w:szCs w:val="20"/>
        </w:rPr>
        <w:t> </w:t>
      </w:r>
      <w:r w:rsidR="00A96DFB" w:rsidRPr="00283436">
        <w:rPr>
          <w:rFonts w:asciiTheme="majorHAnsi" w:eastAsia="Times New Roman" w:hAnsiTheme="majorHAnsi" w:cs="Arial"/>
          <w:sz w:val="20"/>
          <w:szCs w:val="20"/>
        </w:rPr>
        <w:t>2015 Feb 23;161:147-55</w:t>
      </w:r>
      <w:r w:rsidR="00A96DFB" w:rsidRPr="0028343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</w:footnote>
  <w:footnote w:id="3">
    <w:p w:rsidR="00A96DFB" w:rsidRPr="00283436" w:rsidRDefault="00A96DFB" w:rsidP="00283436">
      <w:pPr>
        <w:pStyle w:val="FootnoteText"/>
        <w:rPr>
          <w:rFonts w:asciiTheme="majorHAnsi" w:hAnsiTheme="majorHAnsi"/>
          <w:sz w:val="20"/>
          <w:szCs w:val="20"/>
        </w:rPr>
      </w:pPr>
      <w:r w:rsidRPr="00283436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283436">
        <w:rPr>
          <w:rFonts w:asciiTheme="majorHAnsi" w:hAnsiTheme="majorHAnsi"/>
          <w:sz w:val="20"/>
          <w:szCs w:val="20"/>
        </w:rPr>
        <w:t xml:space="preserve"> </w:t>
      </w:r>
      <w:r w:rsidRPr="00283436">
        <w:rPr>
          <w:rFonts w:asciiTheme="majorHAnsi" w:eastAsia="Times New Roman" w:hAnsiTheme="majorHAnsi" w:cs="Times New Roman"/>
          <w:bCs/>
          <w:sz w:val="20"/>
          <w:szCs w:val="20"/>
        </w:rPr>
        <w:t>Striegel, L, Kang, B, Pilkenton S, et al.</w:t>
      </w:r>
      <w:r w:rsidRPr="00283436">
        <w:rPr>
          <w:rFonts w:asciiTheme="majorHAnsi" w:eastAsia="Times New Roman" w:hAnsiTheme="majorHAnsi" w:cs="Times New Roman"/>
          <w:sz w:val="20"/>
          <w:szCs w:val="20"/>
        </w:rPr>
        <w:t xml:space="preserve"> Effect of black tea and black tea pomace polyphenols on α-glucosidase and α-amylase inhibition, relevant to type 2 diabetes prevention</w:t>
      </w:r>
      <w:r w:rsidRPr="00283436">
        <w:rPr>
          <w:rFonts w:asciiTheme="majorHAnsi" w:eastAsia="Times New Roman" w:hAnsiTheme="majorHAnsi" w:cs="Times New Roman"/>
          <w:i/>
          <w:sz w:val="20"/>
          <w:szCs w:val="20"/>
        </w:rPr>
        <w:t>. Frontiers in Nutrition</w:t>
      </w:r>
      <w:r w:rsidRPr="00283436">
        <w:rPr>
          <w:rFonts w:asciiTheme="majorHAnsi" w:eastAsia="Times New Roman" w:hAnsiTheme="majorHAnsi" w:cs="Times New Roman"/>
          <w:sz w:val="20"/>
          <w:szCs w:val="20"/>
        </w:rPr>
        <w:t xml:space="preserve"> 2015. </w:t>
      </w:r>
      <w:r w:rsidRPr="00283436">
        <w:rPr>
          <w:rFonts w:asciiTheme="majorHAnsi" w:eastAsia="Times New Roman" w:hAnsiTheme="majorHAnsi" w:cs="Lucida Grande"/>
          <w:sz w:val="20"/>
          <w:szCs w:val="20"/>
          <w:shd w:val="clear" w:color="auto" w:fill="FFFFFF"/>
          <w:lang w:val="en-GB"/>
        </w:rPr>
        <w:t>doi: 10.3389/fnut.2015.00003</w:t>
      </w:r>
    </w:p>
  </w:footnote>
  <w:footnote w:id="4">
    <w:p w:rsidR="00A96DFB" w:rsidRPr="00283436" w:rsidRDefault="00A96DFB" w:rsidP="00283436">
      <w:pPr>
        <w:shd w:val="clear" w:color="auto" w:fill="FFFFFF"/>
        <w:rPr>
          <w:rFonts w:asciiTheme="majorHAnsi" w:hAnsiTheme="majorHAnsi"/>
          <w:sz w:val="20"/>
          <w:szCs w:val="20"/>
        </w:rPr>
      </w:pPr>
      <w:r w:rsidRPr="00283436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283436">
        <w:rPr>
          <w:rFonts w:asciiTheme="majorHAnsi" w:hAnsiTheme="majorHAnsi"/>
          <w:sz w:val="20"/>
          <w:szCs w:val="20"/>
        </w:rPr>
        <w:t xml:space="preserve"> </w:t>
      </w:r>
      <w:hyperlink r:id="rId5" w:history="1">
        <w:r w:rsidRPr="00283436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  <w:u w:val="none"/>
          </w:rPr>
          <w:t>Satoh T</w:t>
        </w:r>
      </w:hyperlink>
      <w:r w:rsidRPr="00283436">
        <w:rPr>
          <w:rFonts w:asciiTheme="majorHAnsi" w:eastAsia="Times New Roman" w:hAnsiTheme="majorHAnsi" w:cs="Arial"/>
          <w:sz w:val="20"/>
          <w:szCs w:val="20"/>
        </w:rPr>
        <w:t>,</w:t>
      </w:r>
      <w:r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hyperlink r:id="rId6" w:history="1">
        <w:r w:rsidRPr="00283436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  <w:u w:val="none"/>
          </w:rPr>
          <w:t>Igarashi M</w:t>
        </w:r>
      </w:hyperlink>
      <w:r w:rsidRPr="00283436">
        <w:rPr>
          <w:rFonts w:asciiTheme="majorHAnsi" w:eastAsia="Times New Roman" w:hAnsiTheme="majorHAnsi" w:cs="Arial"/>
          <w:sz w:val="20"/>
          <w:szCs w:val="20"/>
        </w:rPr>
        <w:t>,</w:t>
      </w:r>
      <w:r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hyperlink r:id="rId7" w:history="1">
        <w:r w:rsidRPr="00283436">
          <w:rPr>
            <w:rStyle w:val="Hyperlink"/>
            <w:rFonts w:asciiTheme="majorHAnsi" w:eastAsia="Times New Roman" w:hAnsiTheme="majorHAnsi" w:cs="Arial"/>
            <w:color w:val="auto"/>
            <w:sz w:val="20"/>
            <w:szCs w:val="20"/>
            <w:u w:val="none"/>
          </w:rPr>
          <w:t>Yamada S</w:t>
        </w:r>
      </w:hyperlink>
      <w:r w:rsidRPr="00283436">
        <w:rPr>
          <w:rFonts w:asciiTheme="majorHAnsi" w:eastAsia="Times New Roman" w:hAnsiTheme="majorHAnsi" w:cs="Arial"/>
          <w:sz w:val="20"/>
          <w:szCs w:val="20"/>
        </w:rPr>
        <w:t>, Inhibitory effect of</w:t>
      </w:r>
      <w:r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r w:rsidRPr="00283436">
        <w:rPr>
          <w:rStyle w:val="highlight"/>
          <w:rFonts w:asciiTheme="majorHAnsi" w:eastAsia="Times New Roman" w:hAnsiTheme="majorHAnsi" w:cs="Arial"/>
          <w:sz w:val="20"/>
          <w:szCs w:val="20"/>
        </w:rPr>
        <w:t>black tea</w:t>
      </w:r>
      <w:r w:rsidRPr="00283436">
        <w:rPr>
          <w:rStyle w:val="apple-converted-space"/>
          <w:rFonts w:asciiTheme="majorHAnsi" w:eastAsia="Times New Roman" w:hAnsiTheme="majorHAnsi" w:cs="Arial"/>
          <w:sz w:val="20"/>
          <w:szCs w:val="20"/>
        </w:rPr>
        <w:t> </w:t>
      </w:r>
      <w:r w:rsidRPr="00283436">
        <w:rPr>
          <w:rFonts w:asciiTheme="majorHAnsi" w:eastAsia="Times New Roman" w:hAnsiTheme="majorHAnsi" w:cs="Arial"/>
          <w:sz w:val="20"/>
          <w:szCs w:val="20"/>
        </w:rPr>
        <w:t>and its combination with acarbose on small intestinal α-glucosidase activity.</w:t>
      </w:r>
      <w:hyperlink r:id="rId8" w:tooltip="Journal of ethnopharmacology." w:history="1">
        <w:r w:rsidRPr="00283436">
          <w:rPr>
            <w:rStyle w:val="Hyperlink"/>
            <w:rFonts w:asciiTheme="majorHAnsi" w:eastAsia="Times New Roman" w:hAnsiTheme="majorHAnsi" w:cs="Arial"/>
            <w:i/>
            <w:color w:val="auto"/>
            <w:sz w:val="20"/>
            <w:szCs w:val="20"/>
            <w:u w:val="none"/>
          </w:rPr>
          <w:t>J Ethnopharmacol.</w:t>
        </w:r>
      </w:hyperlink>
      <w:r w:rsidRPr="00283436">
        <w:rPr>
          <w:rStyle w:val="apple-converted-space"/>
          <w:rFonts w:asciiTheme="majorHAnsi" w:eastAsia="Times New Roman" w:hAnsiTheme="majorHAnsi" w:cs="Arial"/>
          <w:i/>
          <w:sz w:val="20"/>
          <w:szCs w:val="20"/>
        </w:rPr>
        <w:t> </w:t>
      </w:r>
      <w:r w:rsidRPr="00283436">
        <w:rPr>
          <w:rFonts w:asciiTheme="majorHAnsi" w:eastAsia="Times New Roman" w:hAnsiTheme="majorHAnsi" w:cs="Arial"/>
          <w:sz w:val="20"/>
          <w:szCs w:val="20"/>
        </w:rPr>
        <w:t>2015 Feb 23;161:147-55</w:t>
      </w:r>
      <w:r w:rsidRPr="0028343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</w:footnote>
  <w:footnote w:id="5">
    <w:p w:rsidR="0047767E" w:rsidRPr="005A127C" w:rsidRDefault="0047767E" w:rsidP="002834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5A127C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5A127C">
        <w:rPr>
          <w:rFonts w:asciiTheme="majorHAnsi" w:hAnsiTheme="majorHAnsi"/>
          <w:sz w:val="22"/>
          <w:szCs w:val="22"/>
        </w:rPr>
        <w:t xml:space="preserve"> </w:t>
      </w:r>
      <w:r w:rsidRPr="005A127C">
        <w:rPr>
          <w:rFonts w:asciiTheme="majorHAnsi" w:hAnsiTheme="majorHAnsi" w:cs="Times New Roman"/>
          <w:sz w:val="22"/>
          <w:szCs w:val="22"/>
        </w:rPr>
        <w:t xml:space="preserve">Kwon, Y-I., Apostolidis, E., and Shetty, K. Inhibitory potential of wine and tea against </w:t>
      </w:r>
      <w:r w:rsidRPr="005A127C">
        <w:rPr>
          <w:rFonts w:asciiTheme="majorHAnsi" w:hAnsiTheme="majorHAnsi" w:cs="Times"/>
          <w:sz w:val="22"/>
          <w:szCs w:val="22"/>
        </w:rPr>
        <w:t xml:space="preserve"> </w:t>
      </w:r>
      <w:r w:rsidRPr="005A127C">
        <w:rPr>
          <w:rFonts w:asciiTheme="majorHAnsi" w:hAnsiTheme="majorHAnsi" w:cs="Times New Roman"/>
          <w:sz w:val="22"/>
          <w:szCs w:val="22"/>
        </w:rPr>
        <w:t xml:space="preserve">alpha-amylase and alpha-glucosidase for management of hyperglycemia linked to type 2 </w:t>
      </w:r>
      <w:r w:rsidRPr="005A127C">
        <w:rPr>
          <w:rFonts w:asciiTheme="majorHAnsi" w:hAnsiTheme="majorHAnsi" w:cs="Cambria"/>
          <w:sz w:val="22"/>
          <w:szCs w:val="22"/>
        </w:rPr>
        <w:t> </w:t>
      </w:r>
      <w:r w:rsidRPr="005A127C">
        <w:rPr>
          <w:rFonts w:asciiTheme="majorHAnsi" w:hAnsiTheme="majorHAnsi" w:cs="Times New Roman"/>
          <w:sz w:val="22"/>
          <w:szCs w:val="22"/>
        </w:rPr>
        <w:t xml:space="preserve">diabetes. </w:t>
      </w:r>
      <w:r w:rsidRPr="005A127C">
        <w:rPr>
          <w:rFonts w:asciiTheme="majorHAnsi" w:hAnsiTheme="majorHAnsi" w:cs="Times"/>
          <w:i/>
          <w:iCs/>
          <w:sz w:val="22"/>
          <w:szCs w:val="22"/>
        </w:rPr>
        <w:t>J Food Biochem</w:t>
      </w:r>
      <w:r w:rsidRPr="005A127C">
        <w:rPr>
          <w:rFonts w:asciiTheme="majorHAnsi" w:hAnsiTheme="majorHAnsi" w:cs="Times"/>
          <w:iCs/>
          <w:sz w:val="22"/>
          <w:szCs w:val="22"/>
        </w:rPr>
        <w:t>. 2008</w:t>
      </w:r>
      <w:r w:rsidRPr="005A127C">
        <w:rPr>
          <w:rFonts w:asciiTheme="majorHAnsi" w:hAnsiTheme="majorHAnsi" w:cs="Times"/>
          <w:i/>
          <w:iCs/>
          <w:sz w:val="22"/>
          <w:szCs w:val="22"/>
        </w:rPr>
        <w:t xml:space="preserve"> </w:t>
      </w:r>
      <w:r w:rsidRPr="005A127C">
        <w:rPr>
          <w:rFonts w:asciiTheme="majorHAnsi" w:hAnsiTheme="majorHAnsi" w:cs="Times New Roman"/>
          <w:sz w:val="22"/>
          <w:szCs w:val="22"/>
        </w:rPr>
        <w:t xml:space="preserve">32, 15-31. </w:t>
      </w:r>
    </w:p>
    <w:p w:rsidR="0047767E" w:rsidRDefault="0047767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4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0"/>
    <w:rsid w:val="0013281B"/>
    <w:rsid w:val="00261F7A"/>
    <w:rsid w:val="00283436"/>
    <w:rsid w:val="0047767E"/>
    <w:rsid w:val="005342C0"/>
    <w:rsid w:val="005A127C"/>
    <w:rsid w:val="0078715F"/>
    <w:rsid w:val="00871564"/>
    <w:rsid w:val="00A96DFB"/>
    <w:rsid w:val="00B6060C"/>
    <w:rsid w:val="00C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58B8556-6C8B-4A09-8054-0729634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C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42C0"/>
  </w:style>
  <w:style w:type="character" w:customStyle="1" w:styleId="FootnoteTextChar">
    <w:name w:val="Footnote Text Char"/>
    <w:basedOn w:val="DefaultParagraphFont"/>
    <w:link w:val="FootnoteText"/>
    <w:uiPriority w:val="99"/>
    <w:rsid w:val="005342C0"/>
  </w:style>
  <w:style w:type="character" w:styleId="FootnoteReference">
    <w:name w:val="footnote reference"/>
    <w:basedOn w:val="DefaultParagraphFont"/>
    <w:uiPriority w:val="99"/>
    <w:unhideWhenUsed/>
    <w:rsid w:val="005342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42C0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5342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6DFB"/>
  </w:style>
  <w:style w:type="character" w:customStyle="1" w:styleId="highlight">
    <w:name w:val="highlight"/>
    <w:basedOn w:val="DefaultParagraphFont"/>
    <w:rsid w:val="00A96DFB"/>
  </w:style>
  <w:style w:type="character" w:styleId="FollowedHyperlink">
    <w:name w:val="FollowedHyperlink"/>
    <w:basedOn w:val="DefaultParagraphFont"/>
    <w:uiPriority w:val="99"/>
    <w:semiHidden/>
    <w:unhideWhenUsed/>
    <w:rsid w:val="00A96D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.haslam@nexus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aadvisorypan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nelle.kearey@nexuspr.co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523370" TargetMode="External"/><Relationship Id="rId3" Type="http://schemas.openxmlformats.org/officeDocument/2006/relationships/hyperlink" Target="http://www.ncbi.nlm.nih.gov/pubmed/?term=Yamada%20S%5BAuthor%5D&amp;cauthor=true&amp;cauthor_uid=25523370" TargetMode="External"/><Relationship Id="rId7" Type="http://schemas.openxmlformats.org/officeDocument/2006/relationships/hyperlink" Target="http://www.ncbi.nlm.nih.gov/pubmed/?term=Yamada%20S%5BAuthor%5D&amp;cauthor=true&amp;cauthor_uid=25523370" TargetMode="External"/><Relationship Id="rId2" Type="http://schemas.openxmlformats.org/officeDocument/2006/relationships/hyperlink" Target="http://www.ncbi.nlm.nih.gov/pubmed/?term=Igarashi%20M%5BAuthor%5D&amp;cauthor=true&amp;cauthor_uid=25523370" TargetMode="External"/><Relationship Id="rId1" Type="http://schemas.openxmlformats.org/officeDocument/2006/relationships/hyperlink" Target="http://www.ncbi.nlm.nih.gov/pubmed/?term=Satoh%20T%5BAuthor%5D&amp;cauthor=true&amp;cauthor_uid=25523370" TargetMode="External"/><Relationship Id="rId6" Type="http://schemas.openxmlformats.org/officeDocument/2006/relationships/hyperlink" Target="http://www.ncbi.nlm.nih.gov/pubmed/?term=Igarashi%20M%5BAuthor%5D&amp;cauthor=true&amp;cauthor_uid=25523370" TargetMode="External"/><Relationship Id="rId5" Type="http://schemas.openxmlformats.org/officeDocument/2006/relationships/hyperlink" Target="http://www.ncbi.nlm.nih.gov/pubmed/?term=Satoh%20T%5BAuthor%5D&amp;cauthor=true&amp;cauthor_uid=25523370" TargetMode="External"/><Relationship Id="rId4" Type="http://schemas.openxmlformats.org/officeDocument/2006/relationships/hyperlink" Target="http://www.ncbi.nlm.nih.gov/pubmed/25523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Mason</dc:creator>
  <cp:keywords/>
  <dc:description/>
  <cp:lastModifiedBy>Chanelle Kearney</cp:lastModifiedBy>
  <cp:revision>6</cp:revision>
  <cp:lastPrinted>2015-03-09T10:32:00Z</cp:lastPrinted>
  <dcterms:created xsi:type="dcterms:W3CDTF">2015-02-12T13:48:00Z</dcterms:created>
  <dcterms:modified xsi:type="dcterms:W3CDTF">2015-03-09T11:44:00Z</dcterms:modified>
</cp:coreProperties>
</file>